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47D9" w:rsidRDefault="00000000" w:rsidP="000C71E4"/>
    <w:p w:rsidR="00692347" w:rsidRDefault="00692347" w:rsidP="000C71E4"/>
    <w:p w:rsidR="00692347" w:rsidRDefault="00692347" w:rsidP="000C71E4"/>
    <w:p w:rsidR="00692347" w:rsidRDefault="007825ED" w:rsidP="000C71E4">
      <w:r>
        <w:t xml:space="preserve">TOXIC DUST </w:t>
      </w:r>
    </w:p>
    <w:p w:rsidR="00692347" w:rsidRDefault="00692347" w:rsidP="000C71E4"/>
    <w:p w:rsidR="000C71E4" w:rsidRPr="00EB2B98" w:rsidRDefault="00EB2B98" w:rsidP="000C71E4">
      <w:pPr>
        <w:pStyle w:val="NormalWeb"/>
        <w:rPr>
          <w:rFonts w:asciiTheme="minorHAnsi" w:hAnsiTheme="minorHAnsi" w:cstheme="minorHAnsi"/>
        </w:rPr>
      </w:pPr>
      <w:r w:rsidRPr="00EB2B98">
        <w:rPr>
          <w:rFonts w:asciiTheme="minorHAnsi" w:hAnsiTheme="minorHAnsi" w:cstheme="minorHAnsi"/>
        </w:rPr>
        <w:t xml:space="preserve">Dear </w:t>
      </w:r>
      <w:r w:rsidR="000C71E4" w:rsidRPr="00EB2B98">
        <w:rPr>
          <w:rFonts w:asciiTheme="minorHAnsi" w:hAnsiTheme="minorHAnsi" w:cstheme="minorHAnsi"/>
        </w:rPr>
        <w:t>Commissioners</w:t>
      </w:r>
    </w:p>
    <w:p w:rsidR="000C71E4" w:rsidRDefault="000C71E4" w:rsidP="000C71E4">
      <w:pPr>
        <w:pStyle w:val="NormalWeb"/>
        <w:rPr>
          <w:rFonts w:asciiTheme="minorHAnsi" w:hAnsiTheme="minorHAnsi" w:cstheme="minorHAnsi"/>
        </w:rPr>
      </w:pPr>
      <w:r w:rsidRPr="00EB2B98">
        <w:rPr>
          <w:rFonts w:asciiTheme="minorHAnsi" w:hAnsiTheme="minorHAnsi" w:cstheme="minorHAnsi"/>
        </w:rPr>
        <w:t xml:space="preserve">I ask you not to approve the </w:t>
      </w:r>
      <w:proofErr w:type="spellStart"/>
      <w:r w:rsidRPr="00EB2B98">
        <w:rPr>
          <w:rFonts w:asciiTheme="minorHAnsi" w:hAnsiTheme="minorHAnsi" w:cstheme="minorHAnsi"/>
        </w:rPr>
        <w:t>Bowdens</w:t>
      </w:r>
      <w:proofErr w:type="spellEnd"/>
      <w:r w:rsidRPr="00EB2B98">
        <w:rPr>
          <w:rFonts w:asciiTheme="minorHAnsi" w:hAnsiTheme="minorHAnsi" w:cstheme="minorHAnsi"/>
        </w:rPr>
        <w:t xml:space="preserve"> mine because they will not be able to control the toxic dust dispersal over our property, for the life of the mine and at least 100 years after closure of the mine</w:t>
      </w:r>
      <w:r w:rsidR="00EB2B98">
        <w:rPr>
          <w:rFonts w:asciiTheme="minorHAnsi" w:hAnsiTheme="minorHAnsi" w:cstheme="minorHAnsi"/>
        </w:rPr>
        <w:t>.</w:t>
      </w:r>
    </w:p>
    <w:p w:rsidR="00EB2B98" w:rsidRPr="00EB2B98" w:rsidRDefault="00EB2B98" w:rsidP="000C71E4">
      <w:pPr>
        <w:pStyle w:val="NormalWeb"/>
        <w:rPr>
          <w:rFonts w:asciiTheme="minorHAnsi" w:hAnsiTheme="minorHAnsi" w:cstheme="minorHAnsi"/>
        </w:rPr>
      </w:pPr>
      <w:r>
        <w:rPr>
          <w:rFonts w:asciiTheme="minorHAnsi" w:hAnsiTheme="minorHAnsi" w:cstheme="minorHAnsi"/>
        </w:rPr>
        <w:t xml:space="preserve">Bentivoglio Olives </w:t>
      </w:r>
      <w:r w:rsidR="00E61610">
        <w:rPr>
          <w:rFonts w:asciiTheme="minorHAnsi" w:hAnsiTheme="minorHAnsi" w:cstheme="minorHAnsi"/>
        </w:rPr>
        <w:t xml:space="preserve">grove is 5km from the mine </w:t>
      </w:r>
      <w:r>
        <w:rPr>
          <w:rFonts w:asciiTheme="minorHAnsi" w:hAnsiTheme="minorHAnsi" w:cstheme="minorHAnsi"/>
        </w:rPr>
        <w:t xml:space="preserve">and Rylstone Olive Press is situated </w:t>
      </w:r>
      <w:r w:rsidR="00E61610">
        <w:rPr>
          <w:rFonts w:asciiTheme="minorHAnsi" w:hAnsiTheme="minorHAnsi" w:cstheme="minorHAnsi"/>
        </w:rPr>
        <w:t>6</w:t>
      </w:r>
      <w:r>
        <w:rPr>
          <w:rFonts w:asciiTheme="minorHAnsi" w:hAnsiTheme="minorHAnsi" w:cstheme="minorHAnsi"/>
        </w:rPr>
        <w:t>km from Bowden’s mine</w:t>
      </w:r>
      <w:r w:rsidR="00E61610">
        <w:rPr>
          <w:rFonts w:asciiTheme="minorHAnsi" w:hAnsiTheme="minorHAnsi" w:cstheme="minorHAnsi"/>
        </w:rPr>
        <w:t xml:space="preserve"> on the property at 25 Mossy Rock Lane </w:t>
      </w:r>
      <w:proofErr w:type="spellStart"/>
      <w:proofErr w:type="gramStart"/>
      <w:r w:rsidR="00E61610">
        <w:rPr>
          <w:rFonts w:asciiTheme="minorHAnsi" w:hAnsiTheme="minorHAnsi" w:cstheme="minorHAnsi"/>
        </w:rPr>
        <w:t>Monivae</w:t>
      </w:r>
      <w:proofErr w:type="spellEnd"/>
      <w:r w:rsidR="00E61610">
        <w:rPr>
          <w:rFonts w:asciiTheme="minorHAnsi" w:hAnsiTheme="minorHAnsi" w:cstheme="minorHAnsi"/>
        </w:rPr>
        <w:t xml:space="preserve"> </w:t>
      </w:r>
      <w:r>
        <w:rPr>
          <w:rFonts w:asciiTheme="minorHAnsi" w:hAnsiTheme="minorHAnsi" w:cstheme="minorHAnsi"/>
        </w:rPr>
        <w:t>.</w:t>
      </w:r>
      <w:proofErr w:type="gramEnd"/>
    </w:p>
    <w:p w:rsidR="000C71E4" w:rsidRPr="00EB2B98" w:rsidRDefault="000C71E4" w:rsidP="000C71E4">
      <w:pPr>
        <w:pStyle w:val="NormalWeb"/>
        <w:rPr>
          <w:rFonts w:asciiTheme="minorHAnsi" w:hAnsiTheme="minorHAnsi" w:cstheme="minorHAnsi"/>
        </w:rPr>
      </w:pPr>
      <w:r w:rsidRPr="00EB2B98">
        <w:rPr>
          <w:rFonts w:asciiTheme="minorHAnsi" w:hAnsiTheme="minorHAnsi" w:cstheme="minorHAnsi"/>
        </w:rPr>
        <w:t xml:space="preserve"> This toxic dust will contaminate</w:t>
      </w:r>
      <w:r w:rsidR="00EB2B98">
        <w:rPr>
          <w:rFonts w:asciiTheme="minorHAnsi" w:hAnsiTheme="minorHAnsi" w:cstheme="minorHAnsi"/>
        </w:rPr>
        <w:t xml:space="preserve"> at Bentivoglio Olives and Rylstone Olive </w:t>
      </w:r>
      <w:proofErr w:type="gramStart"/>
      <w:r w:rsidR="00EB2B98">
        <w:rPr>
          <w:rFonts w:asciiTheme="minorHAnsi" w:hAnsiTheme="minorHAnsi" w:cstheme="minorHAnsi"/>
        </w:rPr>
        <w:t>Press:-</w:t>
      </w:r>
      <w:proofErr w:type="gramEnd"/>
      <w:r w:rsidRPr="00EB2B98">
        <w:rPr>
          <w:rFonts w:asciiTheme="minorHAnsi" w:hAnsiTheme="minorHAnsi" w:cstheme="minorHAnsi"/>
        </w:rPr>
        <w:t xml:space="preserve"> </w:t>
      </w:r>
    </w:p>
    <w:p w:rsidR="000C71E4" w:rsidRPr="00EB2B98" w:rsidRDefault="000C71E4" w:rsidP="00EB2B98">
      <w:pPr>
        <w:pStyle w:val="NormalWeb"/>
        <w:numPr>
          <w:ilvl w:val="0"/>
          <w:numId w:val="2"/>
        </w:numPr>
        <w:rPr>
          <w:rFonts w:asciiTheme="minorHAnsi" w:hAnsiTheme="minorHAnsi" w:cstheme="minorHAnsi"/>
        </w:rPr>
      </w:pPr>
      <w:r w:rsidRPr="00EB2B98">
        <w:rPr>
          <w:rFonts w:asciiTheme="minorHAnsi" w:hAnsiTheme="minorHAnsi" w:cstheme="minorHAnsi"/>
        </w:rPr>
        <w:t xml:space="preserve">our family home drinking water, </w:t>
      </w:r>
    </w:p>
    <w:p w:rsidR="000C71E4" w:rsidRPr="00EB2B98" w:rsidRDefault="000C71E4" w:rsidP="00EB2B98">
      <w:pPr>
        <w:pStyle w:val="NormalWeb"/>
        <w:numPr>
          <w:ilvl w:val="0"/>
          <w:numId w:val="2"/>
        </w:numPr>
        <w:rPr>
          <w:rFonts w:asciiTheme="minorHAnsi" w:hAnsiTheme="minorHAnsi" w:cstheme="minorHAnsi"/>
        </w:rPr>
      </w:pPr>
      <w:r w:rsidRPr="00EB2B98">
        <w:rPr>
          <w:rFonts w:asciiTheme="minorHAnsi" w:hAnsiTheme="minorHAnsi" w:cstheme="minorHAnsi"/>
        </w:rPr>
        <w:t>our dam and irrigation water</w:t>
      </w:r>
    </w:p>
    <w:p w:rsidR="000C71E4" w:rsidRPr="00EB2B98" w:rsidRDefault="000C71E4" w:rsidP="00EB2B98">
      <w:pPr>
        <w:pStyle w:val="NormalWeb"/>
        <w:numPr>
          <w:ilvl w:val="0"/>
          <w:numId w:val="2"/>
        </w:numPr>
        <w:rPr>
          <w:rFonts w:asciiTheme="minorHAnsi" w:hAnsiTheme="minorHAnsi" w:cstheme="minorHAnsi"/>
        </w:rPr>
      </w:pPr>
      <w:r w:rsidRPr="00EB2B98">
        <w:rPr>
          <w:rFonts w:asciiTheme="minorHAnsi" w:hAnsiTheme="minorHAnsi" w:cstheme="minorHAnsi"/>
        </w:rPr>
        <w:t>our conference centre drinking water</w:t>
      </w:r>
    </w:p>
    <w:p w:rsidR="000C71E4" w:rsidRPr="00EB2B98" w:rsidRDefault="000C71E4" w:rsidP="00EB2B98">
      <w:pPr>
        <w:pStyle w:val="NormalWeb"/>
        <w:numPr>
          <w:ilvl w:val="0"/>
          <w:numId w:val="2"/>
        </w:numPr>
        <w:rPr>
          <w:rFonts w:asciiTheme="minorHAnsi" w:hAnsiTheme="minorHAnsi" w:cstheme="minorHAnsi"/>
        </w:rPr>
      </w:pPr>
      <w:r w:rsidRPr="00EB2B98">
        <w:rPr>
          <w:rFonts w:asciiTheme="minorHAnsi" w:hAnsiTheme="minorHAnsi" w:cstheme="minorHAnsi"/>
        </w:rPr>
        <w:t>office drinking water.</w:t>
      </w:r>
    </w:p>
    <w:p w:rsidR="000C71E4" w:rsidRPr="00EB2B98" w:rsidRDefault="000C71E4" w:rsidP="00EB2B98">
      <w:pPr>
        <w:pStyle w:val="NormalWeb"/>
        <w:numPr>
          <w:ilvl w:val="0"/>
          <w:numId w:val="2"/>
        </w:numPr>
        <w:rPr>
          <w:rFonts w:asciiTheme="minorHAnsi" w:hAnsiTheme="minorHAnsi" w:cstheme="minorHAnsi"/>
        </w:rPr>
      </w:pPr>
      <w:r w:rsidRPr="00EB2B98">
        <w:rPr>
          <w:rFonts w:asciiTheme="minorHAnsi" w:hAnsiTheme="minorHAnsi" w:cstheme="minorHAnsi"/>
        </w:rPr>
        <w:t xml:space="preserve">Olive potable washing water </w:t>
      </w:r>
    </w:p>
    <w:p w:rsidR="000C71E4" w:rsidRDefault="000C71E4" w:rsidP="00EB2B98">
      <w:pPr>
        <w:pStyle w:val="NormalWeb"/>
        <w:numPr>
          <w:ilvl w:val="0"/>
          <w:numId w:val="2"/>
        </w:numPr>
        <w:rPr>
          <w:rFonts w:asciiTheme="minorHAnsi" w:hAnsiTheme="minorHAnsi" w:cstheme="minorHAnsi"/>
        </w:rPr>
      </w:pPr>
      <w:r w:rsidRPr="00EB2B98">
        <w:rPr>
          <w:rFonts w:asciiTheme="minorHAnsi" w:hAnsiTheme="minorHAnsi" w:cstheme="minorHAnsi"/>
        </w:rPr>
        <w:t>Olive potable processing water</w:t>
      </w:r>
    </w:p>
    <w:p w:rsidR="00E61610" w:rsidRDefault="00E61610" w:rsidP="00EB2B98">
      <w:pPr>
        <w:pStyle w:val="NormalWeb"/>
        <w:numPr>
          <w:ilvl w:val="0"/>
          <w:numId w:val="2"/>
        </w:numPr>
        <w:rPr>
          <w:rFonts w:asciiTheme="minorHAnsi" w:hAnsiTheme="minorHAnsi" w:cstheme="minorHAnsi"/>
        </w:rPr>
      </w:pPr>
      <w:r>
        <w:rPr>
          <w:rFonts w:asciiTheme="minorHAnsi" w:hAnsiTheme="minorHAnsi" w:cstheme="minorHAnsi"/>
        </w:rPr>
        <w:t>Olive Trees</w:t>
      </w:r>
      <w:r w:rsidR="00126AF7">
        <w:rPr>
          <w:rFonts w:asciiTheme="minorHAnsi" w:hAnsiTheme="minorHAnsi" w:cstheme="minorHAnsi"/>
        </w:rPr>
        <w:t xml:space="preserve"> – no photosynthesis, no crop, no business</w:t>
      </w:r>
    </w:p>
    <w:p w:rsidR="00E61610" w:rsidRDefault="00E61610" w:rsidP="00EB2B98">
      <w:pPr>
        <w:pStyle w:val="NormalWeb"/>
        <w:numPr>
          <w:ilvl w:val="0"/>
          <w:numId w:val="2"/>
        </w:numPr>
        <w:rPr>
          <w:rFonts w:asciiTheme="minorHAnsi" w:hAnsiTheme="minorHAnsi" w:cstheme="minorHAnsi"/>
        </w:rPr>
      </w:pPr>
      <w:r>
        <w:rPr>
          <w:rFonts w:asciiTheme="minorHAnsi" w:hAnsiTheme="minorHAnsi" w:cstheme="minorHAnsi"/>
        </w:rPr>
        <w:t>Olive oil</w:t>
      </w:r>
      <w:r w:rsidR="00126AF7">
        <w:rPr>
          <w:rFonts w:asciiTheme="minorHAnsi" w:hAnsiTheme="minorHAnsi" w:cstheme="minorHAnsi"/>
        </w:rPr>
        <w:t xml:space="preserve"> – </w:t>
      </w:r>
      <w:proofErr w:type="spellStart"/>
      <w:r w:rsidR="00126AF7">
        <w:rPr>
          <w:rFonts w:asciiTheme="minorHAnsi" w:hAnsiTheme="minorHAnsi" w:cstheme="minorHAnsi"/>
        </w:rPr>
        <w:t>Lampante</w:t>
      </w:r>
      <w:proofErr w:type="spellEnd"/>
      <w:r w:rsidR="00126AF7">
        <w:rPr>
          <w:rFonts w:asciiTheme="minorHAnsi" w:hAnsiTheme="minorHAnsi" w:cstheme="minorHAnsi"/>
        </w:rPr>
        <w:t xml:space="preserve"> oil – inedible oil</w:t>
      </w:r>
    </w:p>
    <w:p w:rsidR="00126AF7" w:rsidRPr="00EB2B98" w:rsidRDefault="00126AF7" w:rsidP="00EB2B98">
      <w:pPr>
        <w:pStyle w:val="NormalWeb"/>
        <w:numPr>
          <w:ilvl w:val="0"/>
          <w:numId w:val="2"/>
        </w:numPr>
        <w:rPr>
          <w:rFonts w:asciiTheme="minorHAnsi" w:hAnsiTheme="minorHAnsi" w:cstheme="minorHAnsi"/>
        </w:rPr>
      </w:pPr>
      <w:r>
        <w:rPr>
          <w:rFonts w:asciiTheme="minorHAnsi" w:hAnsiTheme="minorHAnsi" w:cstheme="minorHAnsi"/>
        </w:rPr>
        <w:t xml:space="preserve">Our </w:t>
      </w:r>
      <w:proofErr w:type="gramStart"/>
      <w:r>
        <w:rPr>
          <w:rFonts w:asciiTheme="minorHAnsi" w:hAnsiTheme="minorHAnsi" w:cstheme="minorHAnsi"/>
        </w:rPr>
        <w:t>high quality</w:t>
      </w:r>
      <w:proofErr w:type="gramEnd"/>
      <w:r>
        <w:rPr>
          <w:rFonts w:asciiTheme="minorHAnsi" w:hAnsiTheme="minorHAnsi" w:cstheme="minorHAnsi"/>
        </w:rPr>
        <w:t xml:space="preserve"> extra virgin olive oil will not exist</w:t>
      </w:r>
    </w:p>
    <w:p w:rsidR="000C71E4" w:rsidRPr="00EB2B98" w:rsidRDefault="005734EE" w:rsidP="000C71E4">
      <w:pPr>
        <w:pStyle w:val="NormalWeb"/>
        <w:rPr>
          <w:rFonts w:asciiTheme="minorHAnsi" w:hAnsiTheme="minorHAnsi" w:cstheme="minorHAnsi"/>
        </w:rPr>
      </w:pPr>
      <w:r w:rsidRPr="00EB2B98">
        <w:rPr>
          <w:rFonts w:asciiTheme="minorHAnsi" w:hAnsiTheme="minorHAnsi" w:cstheme="minorHAnsi"/>
        </w:rPr>
        <w:t>The DPE have stated that Bowden’s have</w:t>
      </w:r>
      <w:r w:rsidR="003B1939" w:rsidRPr="00EB2B98">
        <w:rPr>
          <w:rFonts w:asciiTheme="minorHAnsi" w:hAnsiTheme="minorHAnsi" w:cstheme="minorHAnsi"/>
        </w:rPr>
        <w:t xml:space="preserve"> an</w:t>
      </w:r>
    </w:p>
    <w:p w:rsidR="00692347" w:rsidRPr="005734EE" w:rsidRDefault="00692347" w:rsidP="000C71E4">
      <w:pPr>
        <w:pStyle w:val="NormalWeb"/>
        <w:rPr>
          <w:b/>
          <w:bCs/>
          <w:i/>
          <w:iCs/>
        </w:rPr>
      </w:pPr>
      <w:r w:rsidRPr="005734EE">
        <w:rPr>
          <w:rFonts w:ascii="CIDFont+F3" w:hAnsi="CIDFont+F3"/>
          <w:b/>
          <w:bCs/>
          <w:i/>
          <w:iCs/>
          <w:sz w:val="18"/>
          <w:szCs w:val="18"/>
        </w:rPr>
        <w:t xml:space="preserve">OBLIGATION TO MINIMISE HARM TO THE ENVIRONMENT </w:t>
      </w:r>
    </w:p>
    <w:p w:rsidR="00692347" w:rsidRDefault="00692347" w:rsidP="000C71E4">
      <w:pPr>
        <w:pStyle w:val="NormalWeb"/>
      </w:pPr>
      <w:r w:rsidRPr="005734EE">
        <w:rPr>
          <w:rFonts w:ascii="CIDFont+F1" w:hAnsi="CIDFont+F1"/>
          <w:b/>
          <w:bCs/>
          <w:i/>
          <w:iCs/>
          <w:sz w:val="18"/>
          <w:szCs w:val="18"/>
        </w:rPr>
        <w:t>In addition to meeting the specific performance measures and criteria established under this consent, the Applicant must implement all reasonable and feasible measures to prevent, and if prevention is not reasonable and feasible, minimise, any material harm to the environment that may result from the construction and operation of the development, or rehabilitation of the development</w:t>
      </w:r>
      <w:r>
        <w:rPr>
          <w:rFonts w:ascii="CIDFont+F1" w:hAnsi="CIDFont+F1"/>
          <w:sz w:val="18"/>
          <w:szCs w:val="18"/>
        </w:rPr>
        <w:t xml:space="preserve">. </w:t>
      </w:r>
    </w:p>
    <w:p w:rsidR="007825ED" w:rsidRPr="00EB2B98" w:rsidRDefault="003B1939" w:rsidP="000C71E4">
      <w:r w:rsidRPr="00EB2B98">
        <w:t xml:space="preserve">Bentivoglio Olives and Rylstone Olive Press has </w:t>
      </w:r>
      <w:r w:rsidR="007825ED" w:rsidRPr="00EB2B98">
        <w:t>8,000 trees – 5 km from Bowden</w:t>
      </w:r>
      <w:r w:rsidRPr="00EB2B98">
        <w:t>’</w:t>
      </w:r>
      <w:r w:rsidR="007825ED" w:rsidRPr="00EB2B98">
        <w:t>s Lead mine</w:t>
      </w:r>
    </w:p>
    <w:p w:rsidR="007825ED" w:rsidRPr="00EB2B98" w:rsidRDefault="007825ED" w:rsidP="000C71E4">
      <w:r w:rsidRPr="00EB2B98">
        <w:t>DPE Recommendations for Conditions of Consent page 13 Table 6</w:t>
      </w:r>
      <w:r w:rsidR="003B1939" w:rsidRPr="00EB2B98">
        <w:t xml:space="preserve"> states</w:t>
      </w:r>
      <w:r w:rsidR="001E39BA" w:rsidRPr="00EB2B98">
        <w:t xml:space="preserve"> acceptable level of</w:t>
      </w:r>
    </w:p>
    <w:p w:rsidR="007825ED" w:rsidRPr="00EB2B98" w:rsidRDefault="007825ED" w:rsidP="000C71E4">
      <w:r w:rsidRPr="00EB2B98">
        <w:t>4gram/sqm/month</w:t>
      </w:r>
      <w:r w:rsidR="001E39BA" w:rsidRPr="00EB2B98">
        <w:t xml:space="preserve">. This </w:t>
      </w:r>
      <w:r w:rsidRPr="00EB2B98">
        <w:t>will be accumulative and is prohibitive to clean and green agriculture</w:t>
      </w:r>
      <w:r w:rsidR="001E39BA" w:rsidRPr="00EB2B98">
        <w:t xml:space="preserve"> and human health, </w:t>
      </w:r>
      <w:r w:rsidR="00E61610">
        <w:t xml:space="preserve">WHO states </w:t>
      </w:r>
      <w:r w:rsidR="001E39BA" w:rsidRPr="00E61610">
        <w:rPr>
          <w:b/>
          <w:bCs/>
          <w:i/>
          <w:iCs/>
        </w:rPr>
        <w:t>there is no safe level of lead.</w:t>
      </w:r>
    </w:p>
    <w:p w:rsidR="007825ED" w:rsidRPr="00EB2B98" w:rsidRDefault="007825ED" w:rsidP="000C71E4"/>
    <w:p w:rsidR="007825ED" w:rsidRPr="00EB2B98" w:rsidRDefault="007825ED" w:rsidP="000C71E4">
      <w:r w:rsidRPr="00EB2B98">
        <w:t xml:space="preserve">DPE </w:t>
      </w:r>
      <w:r w:rsidR="001E39BA" w:rsidRPr="00EB2B98">
        <w:t xml:space="preserve">have </w:t>
      </w:r>
      <w:r w:rsidRPr="00EB2B98">
        <w:t>taken Bowden’s EIS demands on toxic dust deposits</w:t>
      </w:r>
      <w:r w:rsidR="001E39BA" w:rsidRPr="00EB2B98">
        <w:t>.</w:t>
      </w:r>
      <w:r w:rsidRPr="00EB2B98">
        <w:t xml:space="preserve"> </w:t>
      </w:r>
    </w:p>
    <w:p w:rsidR="007825ED" w:rsidRPr="00EB2B98" w:rsidRDefault="001E39BA" w:rsidP="000C71E4">
      <w:r w:rsidRPr="00EB2B98">
        <w:t xml:space="preserve">There has been no consultation </w:t>
      </w:r>
      <w:r w:rsidR="007825ED" w:rsidRPr="00EB2B98">
        <w:t>with agriculture</w:t>
      </w:r>
      <w:r w:rsidRPr="00EB2B98">
        <w:t xml:space="preserve"> enterprises surrounding the mine</w:t>
      </w:r>
    </w:p>
    <w:p w:rsidR="007825ED" w:rsidRPr="00EB2B98" w:rsidRDefault="001E39BA" w:rsidP="000C71E4">
      <w:r w:rsidRPr="00EB2B98">
        <w:t>The DPE and Bowden’s EIS t</w:t>
      </w:r>
      <w:r w:rsidR="007825ED" w:rsidRPr="00EB2B98">
        <w:t>oxic insoluble and fine particle dust deposit 4grams/sqm/month</w:t>
      </w:r>
      <w:r w:rsidRPr="00EB2B98">
        <w:t xml:space="preserve"> provided </w:t>
      </w:r>
      <w:r w:rsidR="007825ED" w:rsidRPr="00EB2B98">
        <w:t>no data of what percentage will be Lead, Arsenic, cadmium, cyanide, zinc other toxic metals</w:t>
      </w:r>
    </w:p>
    <w:p w:rsidR="007825ED" w:rsidRPr="00EB2B98" w:rsidRDefault="007825ED" w:rsidP="000C71E4"/>
    <w:p w:rsidR="007825ED" w:rsidRPr="00EB2B98" w:rsidRDefault="007825ED" w:rsidP="000C71E4">
      <w:r w:rsidRPr="00EB2B98">
        <w:lastRenderedPageBreak/>
        <w:t>This allowable DPE/Bowden’s recommended measurement</w:t>
      </w:r>
      <w:r w:rsidR="001E39BA" w:rsidRPr="00EB2B98">
        <w:t xml:space="preserve"> a</w:t>
      </w:r>
      <w:r w:rsidRPr="00EB2B98">
        <w:t xml:space="preserve">llows 52.9kg per year of toxic dust in our </w:t>
      </w:r>
      <w:r w:rsidR="001E39BA" w:rsidRPr="00EB2B98">
        <w:t xml:space="preserve">home </w:t>
      </w:r>
      <w:r w:rsidRPr="00EB2B98">
        <w:t>drinking water</w:t>
      </w:r>
      <w:r w:rsidR="001E39BA" w:rsidRPr="00EB2B98">
        <w:t>.</w:t>
      </w:r>
    </w:p>
    <w:p w:rsidR="007825ED" w:rsidRPr="00EB2B98" w:rsidRDefault="00CE7964" w:rsidP="000C71E4">
      <w:r w:rsidRPr="00EB2B98">
        <w:t xml:space="preserve">The measurement </w:t>
      </w:r>
      <w:r w:rsidR="001E39BA" w:rsidRPr="00EB2B98">
        <w:t>allows</w:t>
      </w:r>
      <w:r w:rsidR="007825ED" w:rsidRPr="00EB2B98">
        <w:t xml:space="preserve"> 62ton </w:t>
      </w:r>
      <w:r w:rsidR="00E61610">
        <w:t xml:space="preserve">of </w:t>
      </w:r>
      <w:r w:rsidR="007825ED" w:rsidRPr="00EB2B98">
        <w:t>toxic dust deposit on our</w:t>
      </w:r>
      <w:r w:rsidR="00E61610">
        <w:t xml:space="preserve"> </w:t>
      </w:r>
      <w:r w:rsidR="007825ED" w:rsidRPr="00EB2B98">
        <w:t>8,000 trees</w:t>
      </w:r>
      <w:r w:rsidR="001E39BA" w:rsidRPr="00EB2B98">
        <w:t xml:space="preserve">, </w:t>
      </w:r>
      <w:r w:rsidR="007825ED" w:rsidRPr="00EB2B98">
        <w:t xml:space="preserve">our </w:t>
      </w:r>
      <w:r w:rsidR="001E39BA" w:rsidRPr="00EB2B98">
        <w:t>employees</w:t>
      </w:r>
      <w:r w:rsidR="007825ED" w:rsidRPr="00EB2B98">
        <w:t>, in our dams,</w:t>
      </w:r>
      <w:r w:rsidR="001E39BA" w:rsidRPr="00EB2B98">
        <w:t xml:space="preserve"> </w:t>
      </w:r>
      <w:r w:rsidR="007825ED" w:rsidRPr="00EB2B98">
        <w:t>in our drinking water</w:t>
      </w:r>
      <w:r w:rsidR="001E39BA" w:rsidRPr="00EB2B98">
        <w:t xml:space="preserve"> and </w:t>
      </w:r>
      <w:r w:rsidR="007825ED" w:rsidRPr="00EB2B98">
        <w:t>in our olive processing water.</w:t>
      </w:r>
    </w:p>
    <w:p w:rsidR="007825ED" w:rsidRPr="00EB2B98" w:rsidRDefault="001E39BA" w:rsidP="000C71E4">
      <w:r w:rsidRPr="00EB2B98">
        <w:t>In fact, 72kg toxic dust will contaminate our olive processing water annually.</w:t>
      </w:r>
    </w:p>
    <w:p w:rsidR="001E39BA" w:rsidRPr="00EB2B98" w:rsidRDefault="001E39BA" w:rsidP="000C71E4"/>
    <w:p w:rsidR="00126AF7" w:rsidRPr="00EB2B98" w:rsidRDefault="007825ED" w:rsidP="000C71E4">
      <w:pPr>
        <w:rPr>
          <w:b/>
          <w:bCs/>
        </w:rPr>
      </w:pPr>
      <w:r w:rsidRPr="00EB2B98">
        <w:rPr>
          <w:b/>
          <w:bCs/>
        </w:rPr>
        <w:t>BOWDEN’S will not be able to control the toxic dust</w:t>
      </w:r>
      <w:r w:rsidR="001E39BA" w:rsidRPr="00EB2B98">
        <w:rPr>
          <w:b/>
          <w:bCs/>
        </w:rPr>
        <w:t>.</w:t>
      </w:r>
    </w:p>
    <w:p w:rsidR="00692347" w:rsidRPr="007825ED" w:rsidRDefault="00692347" w:rsidP="000C71E4">
      <w:pPr>
        <w:rPr>
          <w:sz w:val="22"/>
          <w:szCs w:val="22"/>
        </w:rPr>
      </w:pPr>
    </w:p>
    <w:p w:rsidR="003101E1" w:rsidRDefault="003101E1" w:rsidP="000C71E4">
      <w:pPr>
        <w:pStyle w:val="NormalWeb"/>
      </w:pPr>
      <w:r>
        <w:rPr>
          <w:rFonts w:ascii="CIDFont+F3" w:hAnsi="CIDFont+F3"/>
          <w:sz w:val="18"/>
          <w:szCs w:val="18"/>
        </w:rPr>
        <w:t xml:space="preserve">INDEPENDENT REVIEW </w:t>
      </w:r>
    </w:p>
    <w:p w:rsidR="003101E1" w:rsidRDefault="003101E1" w:rsidP="000C71E4">
      <w:pPr>
        <w:pStyle w:val="NormalWeb"/>
        <w:numPr>
          <w:ilvl w:val="0"/>
          <w:numId w:val="1"/>
        </w:numPr>
      </w:pPr>
      <w:r>
        <w:rPr>
          <w:rFonts w:ascii="CIDFont+F1" w:hAnsi="CIDFont+F1"/>
          <w:sz w:val="18"/>
          <w:szCs w:val="18"/>
        </w:rPr>
        <w:t xml:space="preserve">C7.  If a landowner considers the development to be exceeding any relevant air quality, noise or blasting criterion in PART B of this consent, they may ask the Planning Secretary in writing for an independent review of the impacts of the development on their residence or land. </w:t>
      </w:r>
    </w:p>
    <w:p w:rsidR="003101E1" w:rsidRDefault="003101E1" w:rsidP="000C71E4">
      <w:pPr>
        <w:pStyle w:val="NormalWeb"/>
        <w:numPr>
          <w:ilvl w:val="0"/>
          <w:numId w:val="1"/>
        </w:numPr>
      </w:pPr>
      <w:r>
        <w:rPr>
          <w:rFonts w:ascii="CIDFont+F1" w:hAnsi="CIDFont+F1"/>
          <w:sz w:val="18"/>
          <w:szCs w:val="18"/>
        </w:rPr>
        <w:t xml:space="preserve">C8.  If the Planning Secretary is not satisfied that an independent review is warranted, the Planning Secretary will notify the landowner in writing of that decision, and the reasons for that decision. </w:t>
      </w:r>
    </w:p>
    <w:p w:rsidR="003101E1" w:rsidRDefault="003101E1" w:rsidP="000C71E4">
      <w:pPr>
        <w:pStyle w:val="NormalWeb"/>
        <w:numPr>
          <w:ilvl w:val="0"/>
          <w:numId w:val="1"/>
        </w:numPr>
      </w:pPr>
      <w:r>
        <w:rPr>
          <w:rFonts w:ascii="CIDFont+F1" w:hAnsi="CIDFont+F1"/>
          <w:sz w:val="18"/>
          <w:szCs w:val="18"/>
        </w:rPr>
        <w:t xml:space="preserve">C9.  If the Planning Secretary is satisfied that an independent review is warranted, within three months, or other timeframe agreed by the Planning Secretary and the landowner, of the Planning Secretary’s decision, the Applicant must: </w:t>
      </w:r>
    </w:p>
    <w:p w:rsidR="003101E1" w:rsidRDefault="003101E1" w:rsidP="000C71E4">
      <w:pPr>
        <w:pStyle w:val="NormalWeb"/>
        <w:ind w:left="720"/>
      </w:pPr>
      <w:r>
        <w:rPr>
          <w:rFonts w:ascii="CIDFont+F1" w:hAnsi="CIDFont+F1"/>
          <w:sz w:val="18"/>
          <w:szCs w:val="18"/>
        </w:rPr>
        <w:t xml:space="preserve">commission a suitably qualified, experienced and independent person, whose appointment has been approved by the Planning Secretary, to: </w:t>
      </w:r>
    </w:p>
    <w:p w:rsidR="003101E1" w:rsidRDefault="003101E1" w:rsidP="000C71E4">
      <w:pPr>
        <w:pStyle w:val="NormalWeb"/>
        <w:ind w:left="720"/>
      </w:pPr>
      <w:r>
        <w:rPr>
          <w:rFonts w:ascii="CIDFont+F1" w:hAnsi="CIDFont+F1"/>
          <w:sz w:val="18"/>
          <w:szCs w:val="18"/>
        </w:rPr>
        <w:t xml:space="preserve">consult with the landowner to determine their concerns; </w:t>
      </w:r>
    </w:p>
    <w:p w:rsidR="003101E1" w:rsidRDefault="003101E1" w:rsidP="000C71E4">
      <w:pPr>
        <w:pStyle w:val="NormalWeb"/>
        <w:ind w:left="720"/>
      </w:pPr>
      <w:r>
        <w:rPr>
          <w:rFonts w:ascii="CIDFont+F1" w:hAnsi="CIDFont+F1"/>
          <w:sz w:val="18"/>
          <w:szCs w:val="18"/>
        </w:rPr>
        <w:t xml:space="preserve">conduct monitoring to determine whether the development is complying with the relevant criterion in PART B of this consent; and </w:t>
      </w:r>
    </w:p>
    <w:p w:rsidR="003101E1" w:rsidRDefault="003101E1" w:rsidP="000C71E4">
      <w:pPr>
        <w:pStyle w:val="NormalWeb"/>
        <w:ind w:left="720"/>
      </w:pPr>
      <w:r>
        <w:rPr>
          <w:rFonts w:ascii="CIDFont+F1" w:hAnsi="CIDFont+F1"/>
          <w:sz w:val="18"/>
          <w:szCs w:val="18"/>
        </w:rPr>
        <w:t xml:space="preserve">if the development is not complying with the relevant criterion, identify measures that could be implemented to ensure compliance with the relevant criterion; </w:t>
      </w:r>
    </w:p>
    <w:p w:rsidR="003101E1" w:rsidRDefault="003101E1" w:rsidP="000C71E4">
      <w:pPr>
        <w:pStyle w:val="NormalWeb"/>
        <w:ind w:left="720"/>
      </w:pPr>
      <w:r>
        <w:rPr>
          <w:rFonts w:ascii="CIDFont+F1" w:hAnsi="CIDFont+F1"/>
          <w:sz w:val="18"/>
          <w:szCs w:val="18"/>
        </w:rPr>
        <w:t>give the Planning Secretary and landowner a copy of the independent review; and</w:t>
      </w:r>
      <w:r>
        <w:rPr>
          <w:rFonts w:ascii="CIDFont+F1" w:hAnsi="CIDFont+F1"/>
          <w:sz w:val="18"/>
          <w:szCs w:val="18"/>
        </w:rPr>
        <w:br/>
        <w:t xml:space="preserve">comply with any written requests made by the Planning Secretary to implement any findings of the review. </w:t>
      </w:r>
    </w:p>
    <w:p w:rsidR="00875867" w:rsidRDefault="001E39BA" w:rsidP="000C71E4">
      <w:r>
        <w:t xml:space="preserve">With the above </w:t>
      </w:r>
      <w:r w:rsidR="00875867">
        <w:t xml:space="preserve">DPE </w:t>
      </w:r>
      <w:r>
        <w:t xml:space="preserve">conditions </w:t>
      </w:r>
      <w:r w:rsidR="00875867">
        <w:t xml:space="preserve">on Bowden considered </w:t>
      </w:r>
      <w:r>
        <w:t xml:space="preserve">we can only state that these conditions are not acceptable for living </w:t>
      </w:r>
      <w:r w:rsidR="00875867">
        <w:t xml:space="preserve">in our home </w:t>
      </w:r>
      <w:r>
        <w:t>and the production and processing of extra virgin olive oil</w:t>
      </w:r>
      <w:r w:rsidR="00875867">
        <w:t xml:space="preserve"> on our property, situated 5km from the mine</w:t>
      </w:r>
      <w:r>
        <w:t>.</w:t>
      </w:r>
      <w:r w:rsidR="00875867">
        <w:t xml:space="preserve"> </w:t>
      </w:r>
    </w:p>
    <w:p w:rsidR="00E61610" w:rsidRDefault="00E61610" w:rsidP="000C71E4"/>
    <w:p w:rsidR="00E61610" w:rsidRDefault="00E61610" w:rsidP="000C71E4">
      <w:r>
        <w:t>NB: Chronic lead exposure is known to be exposure for 12 months</w:t>
      </w:r>
    </w:p>
    <w:p w:rsidR="00E61610" w:rsidRDefault="00E61610" w:rsidP="000C71E4"/>
    <w:p w:rsidR="00E61610" w:rsidRDefault="00E61610" w:rsidP="000C71E4">
      <w:r>
        <w:t>The following medical conditions are attributed to lead dust exposure.</w:t>
      </w:r>
    </w:p>
    <w:p w:rsidR="00E61610" w:rsidRPr="007C6DB8" w:rsidRDefault="00E61610" w:rsidP="00E61610">
      <w:pPr>
        <w:pStyle w:val="NormalWeb"/>
        <w:shd w:val="clear" w:color="auto" w:fill="FFFFFF"/>
        <w:rPr>
          <w:rFonts w:asciiTheme="minorHAnsi" w:hAnsiTheme="minorHAnsi" w:cstheme="minorHAnsi"/>
        </w:rPr>
      </w:pPr>
      <w:r w:rsidRPr="007C6DB8">
        <w:rPr>
          <w:rFonts w:asciiTheme="minorHAnsi" w:hAnsiTheme="minorHAnsi" w:cstheme="minorHAnsi"/>
          <w:b/>
          <w:bCs/>
          <w:color w:val="212121"/>
        </w:rPr>
        <w:t>Neurologic/psychiatric</w:t>
      </w:r>
      <w:r w:rsidRPr="007C6DB8">
        <w:rPr>
          <w:rFonts w:asciiTheme="minorHAnsi" w:hAnsiTheme="minorHAnsi" w:cstheme="minorHAnsi"/>
          <w:color w:val="212121"/>
        </w:rPr>
        <w:t xml:space="preserve">–Chronic(cumulative)lead exposure at a level as low as BLL5 mcg/dL has been associated with neuropsychiatric effects. These include: </w:t>
      </w:r>
    </w:p>
    <w:p w:rsidR="00E61610" w:rsidRPr="007C6DB8" w:rsidRDefault="00E61610" w:rsidP="00E61610">
      <w:pPr>
        <w:pStyle w:val="NormalWeb"/>
        <w:numPr>
          <w:ilvl w:val="0"/>
          <w:numId w:val="3"/>
        </w:numPr>
        <w:shd w:val="clear" w:color="auto" w:fill="FFFFFF"/>
        <w:rPr>
          <w:rFonts w:asciiTheme="minorHAnsi" w:hAnsiTheme="minorHAnsi" w:cstheme="minorHAnsi"/>
          <w:color w:val="212121"/>
          <w:position w:val="-2"/>
        </w:rPr>
      </w:pPr>
      <w:r w:rsidRPr="007C6DB8">
        <w:rPr>
          <w:rFonts w:asciiTheme="minorHAnsi" w:hAnsiTheme="minorHAnsi" w:cstheme="minorHAnsi"/>
          <w:color w:val="212121"/>
          <w:position w:val="-2"/>
        </w:rPr>
        <w:t xml:space="preserve">Declines in neurocognitive functioning  </w:t>
      </w:r>
    </w:p>
    <w:p w:rsidR="00E61610" w:rsidRPr="007C6DB8" w:rsidRDefault="00E61610" w:rsidP="00E61610">
      <w:pPr>
        <w:pStyle w:val="NormalWeb"/>
        <w:numPr>
          <w:ilvl w:val="0"/>
          <w:numId w:val="3"/>
        </w:numPr>
        <w:shd w:val="clear" w:color="auto" w:fill="FFFFFF"/>
        <w:rPr>
          <w:rFonts w:asciiTheme="minorHAnsi" w:hAnsiTheme="minorHAnsi" w:cstheme="minorHAnsi"/>
          <w:color w:val="212121"/>
          <w:position w:val="-2"/>
        </w:rPr>
      </w:pPr>
      <w:r w:rsidRPr="007C6DB8">
        <w:rPr>
          <w:rFonts w:asciiTheme="minorHAnsi" w:hAnsiTheme="minorHAnsi" w:cstheme="minorHAnsi"/>
          <w:color w:val="212121"/>
          <w:position w:val="-2"/>
        </w:rPr>
        <w:t xml:space="preserve">Psychiatric symptoms (phobic anxiety, depression, and hostility) </w:t>
      </w:r>
    </w:p>
    <w:p w:rsidR="00E61610" w:rsidRPr="007C6DB8" w:rsidRDefault="00E61610" w:rsidP="00E61610">
      <w:pPr>
        <w:pStyle w:val="NormalWeb"/>
        <w:numPr>
          <w:ilvl w:val="0"/>
          <w:numId w:val="3"/>
        </w:numPr>
        <w:shd w:val="clear" w:color="auto" w:fill="FFFFFF"/>
        <w:rPr>
          <w:rFonts w:asciiTheme="minorHAnsi" w:hAnsiTheme="minorHAnsi" w:cstheme="minorHAnsi"/>
          <w:color w:val="212121"/>
          <w:position w:val="-2"/>
        </w:rPr>
      </w:pPr>
      <w:r w:rsidRPr="007C6DB8">
        <w:rPr>
          <w:rFonts w:asciiTheme="minorHAnsi" w:hAnsiTheme="minorHAnsi" w:cstheme="minorHAnsi"/>
          <w:color w:val="212121"/>
          <w:position w:val="-2"/>
        </w:rPr>
        <w:t xml:space="preserve">Distal motor and less commonly sensorimotor neuropathy after many years, usually of very high exposure </w:t>
      </w:r>
    </w:p>
    <w:p w:rsidR="00E61610" w:rsidRPr="007C6DB8" w:rsidRDefault="00E61610" w:rsidP="00E61610">
      <w:pPr>
        <w:pStyle w:val="NormalWeb"/>
        <w:numPr>
          <w:ilvl w:val="0"/>
          <w:numId w:val="3"/>
        </w:numPr>
        <w:shd w:val="clear" w:color="auto" w:fill="FFFFFF"/>
        <w:rPr>
          <w:rFonts w:asciiTheme="minorHAnsi" w:hAnsiTheme="minorHAnsi" w:cstheme="minorHAnsi"/>
          <w:color w:val="212121"/>
          <w:position w:val="-2"/>
        </w:rPr>
      </w:pPr>
      <w:r w:rsidRPr="007C6DB8">
        <w:rPr>
          <w:rFonts w:asciiTheme="minorHAnsi" w:hAnsiTheme="minorHAnsi" w:cstheme="minorHAnsi"/>
          <w:color w:val="212121"/>
          <w:position w:val="-2"/>
        </w:rPr>
        <w:t xml:space="preserve">Decreases in hearing acuity  </w:t>
      </w:r>
    </w:p>
    <w:p w:rsidR="00E61610" w:rsidRPr="007C6DB8" w:rsidRDefault="00E61610" w:rsidP="00E61610">
      <w:pPr>
        <w:pStyle w:val="NormalWeb"/>
        <w:numPr>
          <w:ilvl w:val="0"/>
          <w:numId w:val="3"/>
        </w:numPr>
        <w:shd w:val="clear" w:color="auto" w:fill="FFFFFF"/>
        <w:rPr>
          <w:rFonts w:asciiTheme="minorHAnsi" w:hAnsiTheme="minorHAnsi" w:cstheme="minorHAnsi"/>
          <w:color w:val="212121"/>
          <w:position w:val="-2"/>
        </w:rPr>
      </w:pPr>
      <w:r w:rsidRPr="007C6DB8">
        <w:rPr>
          <w:rFonts w:asciiTheme="minorHAnsi" w:hAnsiTheme="minorHAnsi" w:cstheme="minorHAnsi"/>
          <w:color w:val="212121"/>
          <w:position w:val="-2"/>
        </w:rPr>
        <w:t xml:space="preserve">Tremor  </w:t>
      </w:r>
    </w:p>
    <w:p w:rsidR="00E61610" w:rsidRPr="007C6DB8" w:rsidRDefault="00E61610" w:rsidP="00E61610">
      <w:pPr>
        <w:pStyle w:val="NormalWeb"/>
        <w:numPr>
          <w:ilvl w:val="0"/>
          <w:numId w:val="3"/>
        </w:numPr>
        <w:shd w:val="clear" w:color="auto" w:fill="FFFFFF"/>
        <w:rPr>
          <w:rFonts w:asciiTheme="minorHAnsi" w:hAnsiTheme="minorHAnsi" w:cstheme="minorHAnsi"/>
          <w:color w:val="212121"/>
          <w:position w:val="-2"/>
        </w:rPr>
      </w:pPr>
      <w:r w:rsidRPr="007C6DB8">
        <w:rPr>
          <w:rFonts w:asciiTheme="minorHAnsi" w:hAnsiTheme="minorHAnsi" w:cstheme="minorHAnsi"/>
          <w:color w:val="212121"/>
          <w:position w:val="-2"/>
        </w:rPr>
        <w:lastRenderedPageBreak/>
        <w:t xml:space="preserve">Brain structural changes including white matter lesions, loss of brain </w:t>
      </w:r>
      <w:proofErr w:type="gramStart"/>
      <w:r w:rsidRPr="007C6DB8">
        <w:rPr>
          <w:rFonts w:asciiTheme="minorHAnsi" w:hAnsiTheme="minorHAnsi" w:cstheme="minorHAnsi"/>
          <w:color w:val="212121"/>
          <w:position w:val="-2"/>
        </w:rPr>
        <w:t>volume  and</w:t>
      </w:r>
      <w:proofErr w:type="gramEnd"/>
      <w:r w:rsidRPr="007C6DB8">
        <w:rPr>
          <w:rFonts w:asciiTheme="minorHAnsi" w:hAnsiTheme="minorHAnsi" w:cstheme="minorHAnsi"/>
          <w:color w:val="212121"/>
          <w:position w:val="-2"/>
        </w:rPr>
        <w:t xml:space="preserve"> increased brain gliosis [</w:t>
      </w:r>
      <w:r w:rsidRPr="007C6DB8">
        <w:rPr>
          <w:rFonts w:asciiTheme="minorHAnsi" w:hAnsiTheme="minorHAnsi" w:cstheme="minorHAnsi"/>
          <w:color w:val="008E59"/>
          <w:position w:val="-2"/>
        </w:rPr>
        <w:t>80</w:t>
      </w:r>
      <w:r w:rsidRPr="007C6DB8">
        <w:rPr>
          <w:rFonts w:asciiTheme="minorHAnsi" w:hAnsiTheme="minorHAnsi" w:cstheme="minorHAnsi"/>
          <w:color w:val="212121"/>
          <w:position w:val="-2"/>
        </w:rPr>
        <w:t xml:space="preserve">] </w:t>
      </w:r>
    </w:p>
    <w:p w:rsidR="00E61610" w:rsidRPr="007C6DB8" w:rsidRDefault="00E61610" w:rsidP="00E61610">
      <w:pPr>
        <w:pStyle w:val="NormalWeb"/>
        <w:shd w:val="clear" w:color="auto" w:fill="FFFFFF"/>
        <w:ind w:left="720"/>
        <w:rPr>
          <w:rFonts w:asciiTheme="minorHAnsi" w:hAnsiTheme="minorHAnsi" w:cstheme="minorHAnsi"/>
          <w:color w:val="212121"/>
          <w:position w:val="-2"/>
        </w:rPr>
      </w:pPr>
      <w:r w:rsidRPr="007C6DB8">
        <w:rPr>
          <w:rFonts w:asciiTheme="minorHAnsi" w:hAnsiTheme="minorHAnsi" w:cstheme="minorHAnsi"/>
          <w:color w:val="212121"/>
          <w:position w:val="-2"/>
        </w:rPr>
        <w:t>Bone lead, which remains for decades, has been shown to be a better predictor than BLL of long-term effects on cognitive function [</w:t>
      </w:r>
      <w:r w:rsidRPr="007C6DB8">
        <w:rPr>
          <w:rFonts w:asciiTheme="minorHAnsi" w:hAnsiTheme="minorHAnsi" w:cstheme="minorHAnsi"/>
          <w:color w:val="008E59"/>
          <w:position w:val="-2"/>
        </w:rPr>
        <w:t>73,81</w:t>
      </w:r>
      <w:r w:rsidRPr="007C6DB8">
        <w:rPr>
          <w:rFonts w:asciiTheme="minorHAnsi" w:hAnsiTheme="minorHAnsi" w:cstheme="minorHAnsi"/>
          <w:color w:val="212121"/>
          <w:position w:val="-2"/>
        </w:rPr>
        <w:t xml:space="preserve">]. In a cohort of workers followed over a 22-year period, bone lead level predicted lower cognitive performance, particularly in workers older than age 55, whereas BLL showed no association. </w:t>
      </w:r>
    </w:p>
    <w:p w:rsidR="00E61610" w:rsidRPr="007C6DB8" w:rsidRDefault="00E61610" w:rsidP="00E61610">
      <w:pPr>
        <w:rPr>
          <w:rFonts w:cstheme="minorHAnsi"/>
          <w:i/>
          <w:iCs/>
        </w:rPr>
      </w:pPr>
      <w:r w:rsidRPr="007C6DB8">
        <w:rPr>
          <w:rFonts w:cstheme="minorHAnsi"/>
          <w:i/>
          <w:iCs/>
        </w:rPr>
        <w:t>Ref: Lead exposure and poisoning in adults 2020, Goldman and Hu</w:t>
      </w:r>
    </w:p>
    <w:p w:rsidR="00E61610" w:rsidRPr="007C6DB8" w:rsidRDefault="00E61610" w:rsidP="00E61610">
      <w:pPr>
        <w:rPr>
          <w:rFonts w:cstheme="minorHAnsi"/>
          <w:i/>
          <w:iCs/>
        </w:rPr>
      </w:pPr>
    </w:p>
    <w:p w:rsidR="00E61610" w:rsidRPr="007C6DB8" w:rsidRDefault="00E61610" w:rsidP="00E61610">
      <w:pPr>
        <w:rPr>
          <w:rFonts w:cstheme="minorHAnsi"/>
        </w:rPr>
      </w:pPr>
      <w:r w:rsidRPr="007C6DB8">
        <w:rPr>
          <w:rFonts w:cstheme="minorHAnsi"/>
        </w:rPr>
        <w:t xml:space="preserve"> The NHMRC guideline for lead in drinking water is 0.01mcg/dL. This guideline is not a value for Bowden’s Mine </w:t>
      </w:r>
      <w:r w:rsidRPr="007C6DB8">
        <w:rPr>
          <w:rFonts w:cstheme="minorHAnsi"/>
          <w:b/>
          <w:bCs/>
        </w:rPr>
        <w:t xml:space="preserve">to pollute up to! </w:t>
      </w:r>
      <w:proofErr w:type="gramStart"/>
      <w:r w:rsidRPr="007C6DB8">
        <w:rPr>
          <w:rFonts w:cstheme="minorHAnsi"/>
        </w:rPr>
        <w:t>NHMRC  guideline</w:t>
      </w:r>
      <w:proofErr w:type="gramEnd"/>
      <w:r w:rsidRPr="007C6DB8">
        <w:rPr>
          <w:rFonts w:cstheme="minorHAnsi"/>
        </w:rPr>
        <w:t xml:space="preserve"> for BLL is 0.05mcg/dL and again this is not a value for DPE to recommend in the conditions and Bowden’s to pollute up to. The DPE conditions of consent must recommend for total dust deposit for water soil and air to come under 50% of this guideline!</w:t>
      </w:r>
    </w:p>
    <w:p w:rsidR="00E61610" w:rsidRPr="007C6DB8" w:rsidRDefault="00E61610" w:rsidP="00E61610">
      <w:pPr>
        <w:rPr>
          <w:rFonts w:cstheme="minorHAnsi"/>
          <w:b/>
          <w:bCs/>
        </w:rPr>
      </w:pPr>
    </w:p>
    <w:p w:rsidR="00E61610" w:rsidRDefault="00E61610" w:rsidP="00E61610">
      <w:pPr>
        <w:rPr>
          <w:rFonts w:cstheme="minorHAnsi"/>
        </w:rPr>
      </w:pPr>
      <w:r w:rsidRPr="007C6DB8">
        <w:rPr>
          <w:rFonts w:cstheme="minorHAnsi"/>
        </w:rPr>
        <w:t xml:space="preserve">The adverse impact on our health and the environment of our olive grove and olive processing plant, will not be remedied by Bowden’s Mine to prevent any exceedance of lead from fine particle lead dust dispersal. </w:t>
      </w:r>
    </w:p>
    <w:p w:rsidR="00E61610" w:rsidRDefault="00E61610" w:rsidP="00E61610">
      <w:pPr>
        <w:rPr>
          <w:rFonts w:cstheme="minorHAnsi"/>
        </w:rPr>
      </w:pPr>
    </w:p>
    <w:p w:rsidR="00E61610" w:rsidRPr="007C6DB8" w:rsidRDefault="00E61610" w:rsidP="00E61610">
      <w:pPr>
        <w:rPr>
          <w:rFonts w:cstheme="minorHAnsi"/>
        </w:rPr>
      </w:pPr>
      <w:r>
        <w:rPr>
          <w:rFonts w:cstheme="minorHAnsi"/>
        </w:rPr>
        <w:t>Bowden’s will not be able to stop the dust and the DPE shows no duty of care with their recommended total dust deposits @ 4g</w:t>
      </w:r>
      <w:r w:rsidR="00126AF7">
        <w:rPr>
          <w:rFonts w:cstheme="minorHAnsi"/>
        </w:rPr>
        <w:t>ram</w:t>
      </w:r>
      <w:r>
        <w:rPr>
          <w:rFonts w:cstheme="minorHAnsi"/>
        </w:rPr>
        <w:t>/sqm/month.</w:t>
      </w:r>
    </w:p>
    <w:p w:rsidR="00E61610" w:rsidRPr="007C6DB8" w:rsidRDefault="00E61610" w:rsidP="00E61610">
      <w:pPr>
        <w:rPr>
          <w:rFonts w:cstheme="minorHAnsi"/>
        </w:rPr>
      </w:pPr>
    </w:p>
    <w:p w:rsidR="00E61610" w:rsidRPr="007C6DB8" w:rsidRDefault="00E61610" w:rsidP="00E61610">
      <w:pPr>
        <w:rPr>
          <w:rFonts w:cstheme="minorHAnsi"/>
        </w:rPr>
      </w:pPr>
      <w:r w:rsidRPr="007C6DB8">
        <w:rPr>
          <w:rFonts w:cstheme="minorHAnsi"/>
        </w:rPr>
        <w:t xml:space="preserve">The World Health Organisation says lead is a ‘toxic metal’ and ‘there is no level of exposure to lead that is known to be without harmful </w:t>
      </w:r>
      <w:proofErr w:type="gramStart"/>
      <w:r w:rsidRPr="007C6DB8">
        <w:rPr>
          <w:rFonts w:cstheme="minorHAnsi"/>
        </w:rPr>
        <w:t>effects’</w:t>
      </w:r>
      <w:proofErr w:type="gramEnd"/>
      <w:r w:rsidRPr="007C6DB8">
        <w:rPr>
          <w:rFonts w:cstheme="minorHAnsi"/>
        </w:rPr>
        <w:t>.</w:t>
      </w:r>
      <w:r w:rsidRPr="007C6DB8">
        <w:rPr>
          <w:rStyle w:val="FootnoteReference"/>
          <w:rFonts w:asciiTheme="minorHAnsi" w:hAnsiTheme="minorHAnsi" w:cstheme="minorHAnsi"/>
        </w:rPr>
        <w:footnoteReference w:id="1"/>
      </w:r>
      <w:r w:rsidRPr="007C6DB8">
        <w:rPr>
          <w:rFonts w:cstheme="minorHAnsi"/>
        </w:rPr>
        <w:t xml:space="preserve"> That is, when it comes to lead, there is no level of exposure that is not worth considering. This would seem to be particularly applicable to a proposal to create a risk of exposure to lead for a period of 23 years, and potentially longer.</w:t>
      </w:r>
    </w:p>
    <w:p w:rsidR="00875867" w:rsidRDefault="00875867" w:rsidP="000C71E4"/>
    <w:p w:rsidR="00875867" w:rsidRDefault="00126AF7" w:rsidP="000C71E4">
      <w:r>
        <w:t xml:space="preserve">Agricultural properties in the Mine region are non-saleable, no one will </w:t>
      </w:r>
      <w:r w:rsidR="00875867">
        <w:t xml:space="preserve">find a purchaser for </w:t>
      </w:r>
      <w:r>
        <w:t>their</w:t>
      </w:r>
      <w:r w:rsidR="00875867">
        <w:t xml:space="preserve"> property as Bowden’s mine has cast a shadow over the agricultural viability of our region for a number of years now. This will become worse </w:t>
      </w:r>
      <w:r>
        <w:t xml:space="preserve">when </w:t>
      </w:r>
      <w:r w:rsidR="00875867">
        <w:t xml:space="preserve">the mine is approved and therefore, we request acquisition of </w:t>
      </w:r>
      <w:r>
        <w:t xml:space="preserve">all properties and </w:t>
      </w:r>
      <w:proofErr w:type="gramStart"/>
      <w:r>
        <w:t>business’</w:t>
      </w:r>
      <w:proofErr w:type="gramEnd"/>
      <w:r>
        <w:t xml:space="preserve"> within a 17km radius </w:t>
      </w:r>
      <w:r w:rsidR="00875867">
        <w:t xml:space="preserve">by Bowden’s </w:t>
      </w:r>
      <w:r>
        <w:t xml:space="preserve">Mine </w:t>
      </w:r>
      <w:r w:rsidR="00875867">
        <w:t>please.</w:t>
      </w:r>
    </w:p>
    <w:p w:rsidR="00875867" w:rsidRDefault="00875867" w:rsidP="000C71E4"/>
    <w:p w:rsidR="00875867" w:rsidRDefault="00875867" w:rsidP="000C71E4"/>
    <w:p w:rsidR="00875867" w:rsidRDefault="00875867" w:rsidP="000C71E4">
      <w:pPr>
        <w:rPr>
          <w:rFonts w:ascii="Zapfino" w:hAnsi="Zapfino"/>
        </w:rPr>
      </w:pPr>
      <w:r w:rsidRPr="00875867">
        <w:rPr>
          <w:rFonts w:ascii="Zapfino" w:hAnsi="Zapfino"/>
        </w:rPr>
        <w:t>Jayne Bentivoglio</w:t>
      </w:r>
    </w:p>
    <w:p w:rsidR="00875867" w:rsidRDefault="00875867" w:rsidP="000C71E4">
      <w:pPr>
        <w:rPr>
          <w:rFonts w:cstheme="minorHAnsi"/>
        </w:rPr>
      </w:pPr>
      <w:r>
        <w:rPr>
          <w:rFonts w:cstheme="minorHAnsi"/>
        </w:rPr>
        <w:t>Jayne Bentivoglio</w:t>
      </w:r>
    </w:p>
    <w:p w:rsidR="00875867" w:rsidRPr="00875867" w:rsidRDefault="00875867" w:rsidP="000C71E4">
      <w:pPr>
        <w:rPr>
          <w:rFonts w:cstheme="minorHAnsi"/>
        </w:rPr>
      </w:pPr>
      <w:r>
        <w:rPr>
          <w:rFonts w:cstheme="minorHAnsi"/>
        </w:rPr>
        <w:t>Bentivoglio Olives and Rylstone Olive Press.</w:t>
      </w:r>
    </w:p>
    <w:p w:rsidR="003101E1" w:rsidRDefault="00875867" w:rsidP="000C71E4">
      <w:r>
        <w:t xml:space="preserve"> </w:t>
      </w:r>
    </w:p>
    <w:p w:rsidR="003101E1" w:rsidRDefault="003101E1" w:rsidP="000C71E4"/>
    <w:p w:rsidR="003101E1" w:rsidRDefault="003101E1" w:rsidP="000C71E4"/>
    <w:sectPr w:rsidR="003101E1" w:rsidSect="00DB7E11">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766D" w:rsidRDefault="007F766D" w:rsidP="00C9423A">
      <w:r>
        <w:separator/>
      </w:r>
    </w:p>
  </w:endnote>
  <w:endnote w:type="continuationSeparator" w:id="0">
    <w:p w:rsidR="007F766D" w:rsidRDefault="007F766D" w:rsidP="00C9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IDFont+F3">
    <w:altName w:val="Cambria"/>
    <w:panose1 w:val="020B0604020202020204"/>
    <w:charset w:val="00"/>
    <w:family w:val="roman"/>
    <w:notTrueType/>
    <w:pitch w:val="default"/>
  </w:font>
  <w:font w:name="CIDFont+F1">
    <w:altName w:val="Cambria"/>
    <w:panose1 w:val="020B0604020202020204"/>
    <w:charset w:val="00"/>
    <w:family w:val="roman"/>
    <w:notTrueType/>
    <w:pitch w:val="default"/>
  </w:font>
  <w:font w:name="Zapfino">
    <w:panose1 w:val="03030300040707070C03"/>
    <w:charset w:val="4D"/>
    <w:family w:val="script"/>
    <w:pitch w:val="variable"/>
    <w:sig w:usb0="80000067" w:usb1="4000004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23A" w:rsidRDefault="00C9423A">
    <w:pPr>
      <w:pStyle w:val="Footer"/>
    </w:pPr>
    <w:r>
      <w:rPr>
        <w:rFonts w:ascii="Times New Roman" w:hAnsi="Times New Roman"/>
        <w:lang w:val="en-GB"/>
      </w:rPr>
      <w:t xml:space="preserve">Page </w:t>
    </w:r>
    <w:r>
      <w:rPr>
        <w:rFonts w:ascii="Times New Roman" w:hAnsi="Times New Roman"/>
        <w:lang w:val="en-GB"/>
      </w:rPr>
      <w:fldChar w:fldCharType="begin"/>
    </w:r>
    <w:r>
      <w:rPr>
        <w:rFonts w:ascii="Times New Roman" w:hAnsi="Times New Roman"/>
        <w:lang w:val="en-GB"/>
      </w:rPr>
      <w:instrText xml:space="preserve"> PAGE </w:instrText>
    </w:r>
    <w:r>
      <w:rPr>
        <w:rFonts w:ascii="Times New Roman" w:hAnsi="Times New Roman"/>
        <w:lang w:val="en-GB"/>
      </w:rPr>
      <w:fldChar w:fldCharType="separate"/>
    </w:r>
    <w:r>
      <w:rPr>
        <w:rFonts w:ascii="Times New Roman" w:hAnsi="Times New Roman"/>
        <w:noProof/>
        <w:lang w:val="en-GB"/>
      </w:rPr>
      <w:t>1</w:t>
    </w:r>
    <w:r>
      <w:rPr>
        <w:rFonts w:ascii="Times New Roman" w:hAnsi="Times New Roman"/>
        <w:lang w:val="en-GB"/>
      </w:rPr>
      <w:fldChar w:fldCharType="end"/>
    </w:r>
    <w:r>
      <w:rPr>
        <w:rFonts w:ascii="Times New Roman" w:hAnsi="Times New Roman"/>
        <w:lang w:val="en-GB"/>
      </w:rPr>
      <w:t xml:space="preserve"> of </w:t>
    </w:r>
    <w:r>
      <w:rPr>
        <w:rFonts w:ascii="Times New Roman" w:hAnsi="Times New Roman"/>
        <w:lang w:val="en-GB"/>
      </w:rPr>
      <w:fldChar w:fldCharType="begin"/>
    </w:r>
    <w:r>
      <w:rPr>
        <w:rFonts w:ascii="Times New Roman" w:hAnsi="Times New Roman"/>
        <w:lang w:val="en-GB"/>
      </w:rPr>
      <w:instrText xml:space="preserve"> NUMPAGES </w:instrText>
    </w:r>
    <w:r>
      <w:rPr>
        <w:rFonts w:ascii="Times New Roman" w:hAnsi="Times New Roman"/>
        <w:lang w:val="en-GB"/>
      </w:rPr>
      <w:fldChar w:fldCharType="separate"/>
    </w:r>
    <w:r>
      <w:rPr>
        <w:rFonts w:ascii="Times New Roman" w:hAnsi="Times New Roman"/>
        <w:noProof/>
        <w:lang w:val="en-GB"/>
      </w:rPr>
      <w:t>1</w:t>
    </w:r>
    <w:r>
      <w:rPr>
        <w:rFonts w:ascii="Times New Roman" w:hAnsi="Times New Roman"/>
        <w:lang w:val="en-GB"/>
      </w:rPr>
      <w:fldChar w:fldCharType="end"/>
    </w:r>
    <w:r>
      <w:rPr>
        <w:rFonts w:ascii="Times New Roman" w:hAnsi="Times New Roman"/>
        <w:lang w:val="en-GB"/>
      </w:rPr>
      <w:t xml:space="preserve">  JB Dust IPC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766D" w:rsidRDefault="007F766D" w:rsidP="00C9423A">
      <w:r>
        <w:separator/>
      </w:r>
    </w:p>
  </w:footnote>
  <w:footnote w:type="continuationSeparator" w:id="0">
    <w:p w:rsidR="007F766D" w:rsidRDefault="007F766D" w:rsidP="00C9423A">
      <w:r>
        <w:continuationSeparator/>
      </w:r>
    </w:p>
  </w:footnote>
  <w:footnote w:id="1">
    <w:p w:rsidR="00E61610" w:rsidRDefault="00E61610" w:rsidP="00E6161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A2DD1"/>
    <w:multiLevelType w:val="hybridMultilevel"/>
    <w:tmpl w:val="C9D6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F14BFD"/>
    <w:multiLevelType w:val="multilevel"/>
    <w:tmpl w:val="F120F0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16057E"/>
    <w:multiLevelType w:val="multilevel"/>
    <w:tmpl w:val="D85A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8820591">
    <w:abstractNumId w:val="1"/>
  </w:num>
  <w:num w:numId="2" w16cid:durableId="1619530154">
    <w:abstractNumId w:val="0"/>
  </w:num>
  <w:num w:numId="3" w16cid:durableId="1165508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8D"/>
    <w:rsid w:val="000C71E4"/>
    <w:rsid w:val="00126AF7"/>
    <w:rsid w:val="001E39BA"/>
    <w:rsid w:val="002A2809"/>
    <w:rsid w:val="003101E1"/>
    <w:rsid w:val="003B1939"/>
    <w:rsid w:val="005734EE"/>
    <w:rsid w:val="00692347"/>
    <w:rsid w:val="007825ED"/>
    <w:rsid w:val="007F766D"/>
    <w:rsid w:val="00814F0C"/>
    <w:rsid w:val="00875867"/>
    <w:rsid w:val="00895B8D"/>
    <w:rsid w:val="008F3ACD"/>
    <w:rsid w:val="00A236E2"/>
    <w:rsid w:val="00C9423A"/>
    <w:rsid w:val="00CE7964"/>
    <w:rsid w:val="00DB7E11"/>
    <w:rsid w:val="00E61610"/>
    <w:rsid w:val="00EB2B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8059"/>
  <w15:chartTrackingRefBased/>
  <w15:docId w15:val="{6F39EC36-6D44-014F-89B9-0637EA8F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2347"/>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9423A"/>
    <w:pPr>
      <w:tabs>
        <w:tab w:val="center" w:pos="4513"/>
        <w:tab w:val="right" w:pos="9026"/>
      </w:tabs>
    </w:pPr>
  </w:style>
  <w:style w:type="character" w:customStyle="1" w:styleId="HeaderChar">
    <w:name w:val="Header Char"/>
    <w:basedOn w:val="DefaultParagraphFont"/>
    <w:link w:val="Header"/>
    <w:uiPriority w:val="99"/>
    <w:rsid w:val="00C9423A"/>
  </w:style>
  <w:style w:type="paragraph" w:styleId="Footer">
    <w:name w:val="footer"/>
    <w:basedOn w:val="Normal"/>
    <w:link w:val="FooterChar"/>
    <w:uiPriority w:val="99"/>
    <w:unhideWhenUsed/>
    <w:rsid w:val="00C9423A"/>
    <w:pPr>
      <w:tabs>
        <w:tab w:val="center" w:pos="4513"/>
        <w:tab w:val="right" w:pos="9026"/>
      </w:tabs>
    </w:pPr>
  </w:style>
  <w:style w:type="character" w:customStyle="1" w:styleId="FooterChar">
    <w:name w:val="Footer Char"/>
    <w:basedOn w:val="DefaultParagraphFont"/>
    <w:link w:val="Footer"/>
    <w:uiPriority w:val="99"/>
    <w:rsid w:val="00C9423A"/>
  </w:style>
  <w:style w:type="paragraph" w:styleId="FootnoteText">
    <w:name w:val="footnote text"/>
    <w:basedOn w:val="Normal"/>
    <w:link w:val="FootnoteTextChar"/>
    <w:uiPriority w:val="99"/>
    <w:qFormat/>
    <w:rsid w:val="00E61610"/>
    <w:pPr>
      <w:spacing w:line="200" w:lineRule="exact"/>
    </w:pPr>
    <w:rPr>
      <w:rFonts w:ascii="Helvetica Neue" w:eastAsia="Times New Roman" w:hAnsi="Helvetica Neue" w:cs="Times New Roman"/>
      <w:sz w:val="16"/>
    </w:rPr>
  </w:style>
  <w:style w:type="character" w:customStyle="1" w:styleId="FootnoteTextChar">
    <w:name w:val="Footnote Text Char"/>
    <w:basedOn w:val="DefaultParagraphFont"/>
    <w:link w:val="FootnoteText"/>
    <w:uiPriority w:val="99"/>
    <w:rsid w:val="00E61610"/>
    <w:rPr>
      <w:rFonts w:ascii="Helvetica Neue" w:eastAsia="Times New Roman" w:hAnsi="Helvetica Neue" w:cs="Times New Roman"/>
      <w:sz w:val="16"/>
    </w:rPr>
  </w:style>
  <w:style w:type="character" w:styleId="FootnoteReference">
    <w:name w:val="footnote reference"/>
    <w:basedOn w:val="DefaultParagraphFont"/>
    <w:uiPriority w:val="99"/>
    <w:qFormat/>
    <w:rsid w:val="00E61610"/>
    <w:rPr>
      <w:rFonts w:ascii="Helvetica Neue" w:hAnsi="Helvetica Neu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0921">
      <w:bodyDiv w:val="1"/>
      <w:marLeft w:val="0"/>
      <w:marRight w:val="0"/>
      <w:marTop w:val="0"/>
      <w:marBottom w:val="0"/>
      <w:divBdr>
        <w:top w:val="none" w:sz="0" w:space="0" w:color="auto"/>
        <w:left w:val="none" w:sz="0" w:space="0" w:color="auto"/>
        <w:bottom w:val="none" w:sz="0" w:space="0" w:color="auto"/>
        <w:right w:val="none" w:sz="0" w:space="0" w:color="auto"/>
      </w:divBdr>
      <w:divsChild>
        <w:div w:id="2014801310">
          <w:marLeft w:val="0"/>
          <w:marRight w:val="0"/>
          <w:marTop w:val="0"/>
          <w:marBottom w:val="0"/>
          <w:divBdr>
            <w:top w:val="none" w:sz="0" w:space="0" w:color="auto"/>
            <w:left w:val="none" w:sz="0" w:space="0" w:color="auto"/>
            <w:bottom w:val="none" w:sz="0" w:space="0" w:color="auto"/>
            <w:right w:val="none" w:sz="0" w:space="0" w:color="auto"/>
          </w:divBdr>
          <w:divsChild>
            <w:div w:id="1312561797">
              <w:marLeft w:val="0"/>
              <w:marRight w:val="0"/>
              <w:marTop w:val="0"/>
              <w:marBottom w:val="0"/>
              <w:divBdr>
                <w:top w:val="none" w:sz="0" w:space="0" w:color="auto"/>
                <w:left w:val="none" w:sz="0" w:space="0" w:color="auto"/>
                <w:bottom w:val="none" w:sz="0" w:space="0" w:color="auto"/>
                <w:right w:val="none" w:sz="0" w:space="0" w:color="auto"/>
              </w:divBdr>
              <w:divsChild>
                <w:div w:id="10948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5570">
      <w:bodyDiv w:val="1"/>
      <w:marLeft w:val="0"/>
      <w:marRight w:val="0"/>
      <w:marTop w:val="0"/>
      <w:marBottom w:val="0"/>
      <w:divBdr>
        <w:top w:val="none" w:sz="0" w:space="0" w:color="auto"/>
        <w:left w:val="none" w:sz="0" w:space="0" w:color="auto"/>
        <w:bottom w:val="none" w:sz="0" w:space="0" w:color="auto"/>
        <w:right w:val="none" w:sz="0" w:space="0" w:color="auto"/>
      </w:divBdr>
      <w:divsChild>
        <w:div w:id="682509375">
          <w:marLeft w:val="0"/>
          <w:marRight w:val="0"/>
          <w:marTop w:val="0"/>
          <w:marBottom w:val="0"/>
          <w:divBdr>
            <w:top w:val="none" w:sz="0" w:space="0" w:color="auto"/>
            <w:left w:val="none" w:sz="0" w:space="0" w:color="auto"/>
            <w:bottom w:val="none" w:sz="0" w:space="0" w:color="auto"/>
            <w:right w:val="none" w:sz="0" w:space="0" w:color="auto"/>
          </w:divBdr>
          <w:divsChild>
            <w:div w:id="1427381895">
              <w:marLeft w:val="0"/>
              <w:marRight w:val="0"/>
              <w:marTop w:val="0"/>
              <w:marBottom w:val="0"/>
              <w:divBdr>
                <w:top w:val="none" w:sz="0" w:space="0" w:color="auto"/>
                <w:left w:val="none" w:sz="0" w:space="0" w:color="auto"/>
                <w:bottom w:val="none" w:sz="0" w:space="0" w:color="auto"/>
                <w:right w:val="none" w:sz="0" w:space="0" w:color="auto"/>
              </w:divBdr>
              <w:divsChild>
                <w:div w:id="9359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3528">
      <w:bodyDiv w:val="1"/>
      <w:marLeft w:val="0"/>
      <w:marRight w:val="0"/>
      <w:marTop w:val="0"/>
      <w:marBottom w:val="0"/>
      <w:divBdr>
        <w:top w:val="none" w:sz="0" w:space="0" w:color="auto"/>
        <w:left w:val="none" w:sz="0" w:space="0" w:color="auto"/>
        <w:bottom w:val="none" w:sz="0" w:space="0" w:color="auto"/>
        <w:right w:val="none" w:sz="0" w:space="0" w:color="auto"/>
      </w:divBdr>
      <w:divsChild>
        <w:div w:id="666832215">
          <w:marLeft w:val="0"/>
          <w:marRight w:val="0"/>
          <w:marTop w:val="0"/>
          <w:marBottom w:val="0"/>
          <w:divBdr>
            <w:top w:val="none" w:sz="0" w:space="0" w:color="auto"/>
            <w:left w:val="none" w:sz="0" w:space="0" w:color="auto"/>
            <w:bottom w:val="none" w:sz="0" w:space="0" w:color="auto"/>
            <w:right w:val="none" w:sz="0" w:space="0" w:color="auto"/>
          </w:divBdr>
          <w:divsChild>
            <w:div w:id="1916236816">
              <w:marLeft w:val="0"/>
              <w:marRight w:val="0"/>
              <w:marTop w:val="0"/>
              <w:marBottom w:val="0"/>
              <w:divBdr>
                <w:top w:val="none" w:sz="0" w:space="0" w:color="auto"/>
                <w:left w:val="none" w:sz="0" w:space="0" w:color="auto"/>
                <w:bottom w:val="none" w:sz="0" w:space="0" w:color="auto"/>
                <w:right w:val="none" w:sz="0" w:space="0" w:color="auto"/>
              </w:divBdr>
              <w:divsChild>
                <w:div w:id="12052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ECEDE-40DF-9B47-8525-56A7B00F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Bentivoglio1</dc:creator>
  <cp:keywords/>
  <dc:description/>
  <cp:lastModifiedBy>Jayne Bentivoglio1</cp:lastModifiedBy>
  <cp:revision>7</cp:revision>
  <dcterms:created xsi:type="dcterms:W3CDTF">2023-02-20T19:03:00Z</dcterms:created>
  <dcterms:modified xsi:type="dcterms:W3CDTF">2023-02-23T20:08:00Z</dcterms:modified>
</cp:coreProperties>
</file>