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842A" w14:textId="2A4854E8" w:rsidR="008136D9" w:rsidRDefault="008136D9" w:rsidP="008136D9">
      <w:pPr>
        <w:spacing w:line="360" w:lineRule="auto"/>
        <w:jc w:val="center"/>
        <w:rPr>
          <w:b/>
          <w:bCs/>
          <w:sz w:val="32"/>
          <w:szCs w:val="32"/>
          <w:lang w:val="en-US"/>
        </w:rPr>
      </w:pPr>
      <w:r w:rsidRPr="008136D9">
        <w:rPr>
          <w:b/>
          <w:bCs/>
          <w:sz w:val="32"/>
          <w:szCs w:val="32"/>
          <w:lang w:val="en-US"/>
        </w:rPr>
        <w:t>The Australian Olive Industry</w:t>
      </w:r>
    </w:p>
    <w:p w14:paraId="33EE1156" w14:textId="3176DBA2" w:rsidR="001B4E43" w:rsidRDefault="001B4E43" w:rsidP="001B4E43">
      <w:pPr>
        <w:spacing w:after="0" w:line="240" w:lineRule="auto"/>
        <w:jc w:val="center"/>
        <w:rPr>
          <w:b/>
          <w:bCs/>
          <w:sz w:val="24"/>
          <w:szCs w:val="24"/>
          <w:lang w:val="en-US"/>
        </w:rPr>
      </w:pPr>
      <w:r>
        <w:rPr>
          <w:b/>
          <w:bCs/>
          <w:sz w:val="24"/>
          <w:szCs w:val="24"/>
          <w:lang w:val="en-US"/>
        </w:rPr>
        <w:t>Michael Southan</w:t>
      </w:r>
      <w:r w:rsidR="00B42CFF">
        <w:rPr>
          <w:b/>
          <w:bCs/>
          <w:sz w:val="24"/>
          <w:szCs w:val="24"/>
          <w:lang w:val="en-US"/>
        </w:rPr>
        <w:t xml:space="preserve"> PhD</w:t>
      </w:r>
    </w:p>
    <w:p w14:paraId="3369E736" w14:textId="267D4763" w:rsidR="001B4E43" w:rsidRPr="001B4E43" w:rsidRDefault="001B4E43" w:rsidP="001B4E43">
      <w:pPr>
        <w:spacing w:after="0" w:line="240" w:lineRule="auto"/>
        <w:jc w:val="center"/>
        <w:rPr>
          <w:b/>
          <w:bCs/>
          <w:sz w:val="24"/>
          <w:szCs w:val="24"/>
          <w:lang w:val="en-US"/>
        </w:rPr>
      </w:pPr>
      <w:r>
        <w:rPr>
          <w:b/>
          <w:bCs/>
          <w:sz w:val="24"/>
          <w:szCs w:val="24"/>
          <w:lang w:val="en-US"/>
        </w:rPr>
        <w:t>CEO, Australian Olive Association Ltd</w:t>
      </w:r>
    </w:p>
    <w:p w14:paraId="1B51A6EB" w14:textId="77777777" w:rsidR="001B4E43" w:rsidRDefault="001B4E43" w:rsidP="008136D9">
      <w:pPr>
        <w:spacing w:line="360" w:lineRule="auto"/>
        <w:rPr>
          <w:sz w:val="24"/>
          <w:szCs w:val="24"/>
          <w:lang w:val="en-US"/>
        </w:rPr>
      </w:pPr>
    </w:p>
    <w:p w14:paraId="750CFD9D" w14:textId="2C38D50A" w:rsidR="008136D9" w:rsidRDefault="008136D9" w:rsidP="008136D9">
      <w:pPr>
        <w:spacing w:line="360" w:lineRule="auto"/>
        <w:rPr>
          <w:sz w:val="24"/>
          <w:szCs w:val="24"/>
          <w:lang w:val="en-US"/>
        </w:rPr>
      </w:pPr>
      <w:r w:rsidRPr="008136D9">
        <w:rPr>
          <w:sz w:val="24"/>
          <w:szCs w:val="24"/>
          <w:lang w:val="en-US"/>
        </w:rPr>
        <w:t xml:space="preserve">The Australian Olive Industry </w:t>
      </w:r>
      <w:r>
        <w:rPr>
          <w:sz w:val="24"/>
          <w:szCs w:val="24"/>
          <w:lang w:val="en-US"/>
        </w:rPr>
        <w:t xml:space="preserve">produces around 20 million L of predominantly Extra Virgin Olive Oil (EVOO) and 3000 tonnes of table olives </w:t>
      </w:r>
      <w:r w:rsidR="00A91BE9">
        <w:rPr>
          <w:sz w:val="24"/>
          <w:szCs w:val="24"/>
          <w:lang w:val="en-US"/>
        </w:rPr>
        <w:t xml:space="preserve">(TO) </w:t>
      </w:r>
      <w:r>
        <w:rPr>
          <w:sz w:val="24"/>
          <w:szCs w:val="24"/>
          <w:lang w:val="en-US"/>
        </w:rPr>
        <w:t>per year.  Olive groves are distributed nationally and cover 33,000 ha.  The main production states are Victoria, WA and NSW.</w:t>
      </w:r>
      <w:r w:rsidR="00A91BE9">
        <w:rPr>
          <w:sz w:val="24"/>
          <w:szCs w:val="24"/>
          <w:lang w:val="en-US"/>
        </w:rPr>
        <w:t xml:space="preserve">  In addition to the local production, over 40 million L of olive oil (OO; mostly from Spain) and 17,000 tonnes of TO are imported per year (mostly from Greece).</w:t>
      </w:r>
    </w:p>
    <w:p w14:paraId="69A865B1" w14:textId="534FFF4F" w:rsidR="0035610F" w:rsidRDefault="0035610F" w:rsidP="008136D9">
      <w:pPr>
        <w:spacing w:line="360" w:lineRule="auto"/>
        <w:rPr>
          <w:sz w:val="24"/>
          <w:szCs w:val="24"/>
          <w:lang w:val="en-US"/>
        </w:rPr>
      </w:pPr>
      <w:r>
        <w:rPr>
          <w:sz w:val="24"/>
          <w:szCs w:val="24"/>
          <w:lang w:val="en-US"/>
        </w:rPr>
        <w:t>Annual consumption of locally produced EVOO and imported OO per capita is around 2.4L and 0.8 kg, respectively.  The Australian product is positioned in the market as an ultra-premium product based on quality and the fact that we are a high</w:t>
      </w:r>
      <w:r w:rsidR="008E2908">
        <w:rPr>
          <w:sz w:val="24"/>
          <w:szCs w:val="24"/>
          <w:lang w:val="en-US"/>
        </w:rPr>
        <w:t>-</w:t>
      </w:r>
      <w:r>
        <w:rPr>
          <w:sz w:val="24"/>
          <w:szCs w:val="24"/>
          <w:lang w:val="en-US"/>
        </w:rPr>
        <w:t>cost producer.</w:t>
      </w:r>
    </w:p>
    <w:p w14:paraId="2AD03D35" w14:textId="580FE487" w:rsidR="00AD7B09" w:rsidRDefault="00AD7B09" w:rsidP="008136D9">
      <w:pPr>
        <w:spacing w:line="360" w:lineRule="auto"/>
        <w:rPr>
          <w:sz w:val="24"/>
          <w:szCs w:val="24"/>
          <w:lang w:val="en-US"/>
        </w:rPr>
      </w:pPr>
      <w:r>
        <w:rPr>
          <w:sz w:val="24"/>
          <w:szCs w:val="24"/>
          <w:lang w:val="en-US"/>
        </w:rPr>
        <w:t>Olive trees are important to agriculture because they are carbon sequestering making the olive industry truly sustainable.</w:t>
      </w:r>
    </w:p>
    <w:p w14:paraId="3745C61F" w14:textId="19AE13C6" w:rsidR="00AD7B09" w:rsidRPr="00AD7B09" w:rsidRDefault="00AD7B09" w:rsidP="00AD7B09">
      <w:pPr>
        <w:spacing w:line="360" w:lineRule="auto"/>
      </w:pPr>
      <w:r>
        <w:rPr>
          <w:sz w:val="24"/>
          <w:szCs w:val="24"/>
          <w:lang w:val="en-US"/>
        </w:rPr>
        <w:t xml:space="preserve">EVOO is a healthy food being the juice of the olive fruit and </w:t>
      </w:r>
      <w:r w:rsidRPr="00AD7B09">
        <w:rPr>
          <w:lang w:val="en-US"/>
        </w:rPr>
        <w:t>well documented for underpinning the health benefits of the Mediterranean diet</w:t>
      </w:r>
      <w:r>
        <w:t xml:space="preserve">.  </w:t>
      </w:r>
      <w:r w:rsidRPr="00AD7B09">
        <w:rPr>
          <w:sz w:val="24"/>
          <w:szCs w:val="24"/>
          <w:lang w:val="en-US"/>
        </w:rPr>
        <w:t>EVOO quality is paramount and directly related to its health benefits</w:t>
      </w:r>
      <w:r>
        <w:rPr>
          <w:sz w:val="24"/>
          <w:szCs w:val="24"/>
          <w:lang w:val="en-US"/>
        </w:rPr>
        <w:t xml:space="preserve"> – refining or further processing produces olive oil which is not EVOO quality and lacking nutrition that is beneficial to human health.</w:t>
      </w:r>
    </w:p>
    <w:p w14:paraId="0ACE6B88" w14:textId="60327677" w:rsidR="00AD7B09" w:rsidRDefault="00AD7B09" w:rsidP="00AD7B09">
      <w:pPr>
        <w:spacing w:line="360" w:lineRule="auto"/>
        <w:rPr>
          <w:sz w:val="24"/>
          <w:szCs w:val="24"/>
          <w:lang w:val="en-US"/>
        </w:rPr>
      </w:pPr>
      <w:r>
        <w:rPr>
          <w:sz w:val="24"/>
          <w:szCs w:val="24"/>
          <w:lang w:val="en-US"/>
        </w:rPr>
        <w:t>Interestingly, t</w:t>
      </w:r>
      <w:r w:rsidRPr="00AD7B09">
        <w:rPr>
          <w:sz w:val="24"/>
          <w:szCs w:val="24"/>
          <w:lang w:val="en-US"/>
        </w:rPr>
        <w:t>he only Australian Standard that exists for food is for Olive Oil (AS 5264 -2011)</w:t>
      </w:r>
      <w:r>
        <w:rPr>
          <w:sz w:val="24"/>
          <w:szCs w:val="24"/>
          <w:lang w:val="en-US"/>
        </w:rPr>
        <w:t xml:space="preserve"> which defines the chemical composition and quality for all grades of olive oil from EVOO to lampante (industrial grade) olive oil.</w:t>
      </w:r>
    </w:p>
    <w:p w14:paraId="0AF7AFFD" w14:textId="1B749237" w:rsidR="008E2908" w:rsidRDefault="008E2908" w:rsidP="00AD7B09">
      <w:pPr>
        <w:spacing w:line="360" w:lineRule="auto"/>
        <w:rPr>
          <w:sz w:val="24"/>
          <w:szCs w:val="24"/>
          <w:lang w:val="en-US"/>
        </w:rPr>
      </w:pPr>
      <w:r>
        <w:rPr>
          <w:sz w:val="24"/>
          <w:szCs w:val="24"/>
          <w:lang w:val="en-US"/>
        </w:rPr>
        <w:t>The proposed mine site is located in the centre of the Mid-Western local government area (LGA).  This LGA contains 44,400 olive trees over 336 ha.  Importantly, a significant olive business which has won awards for its EVOO nationally and internationally is only 4-5 km from the mine.</w:t>
      </w:r>
    </w:p>
    <w:p w14:paraId="6219FE27" w14:textId="0E115BFE" w:rsidR="009030AD" w:rsidRDefault="009030AD" w:rsidP="00AD7B09">
      <w:pPr>
        <w:spacing w:line="360" w:lineRule="auto"/>
        <w:rPr>
          <w:sz w:val="24"/>
          <w:szCs w:val="24"/>
          <w:lang w:val="en-US"/>
        </w:rPr>
      </w:pPr>
      <w:r>
        <w:rPr>
          <w:sz w:val="24"/>
          <w:szCs w:val="24"/>
          <w:lang w:val="en-US"/>
        </w:rPr>
        <w:t>The Australian Olive Industry benchmarks itself through local, state and international competitions and its results in these competitions underpins its reputation for premium flavour, freshness and health attributes.</w:t>
      </w:r>
    </w:p>
    <w:p w14:paraId="4B02C569" w14:textId="7F1A5142" w:rsidR="009030AD" w:rsidRDefault="009030AD" w:rsidP="00AD7B09">
      <w:pPr>
        <w:spacing w:line="360" w:lineRule="auto"/>
        <w:rPr>
          <w:sz w:val="24"/>
          <w:szCs w:val="24"/>
          <w:lang w:val="en-US"/>
        </w:rPr>
      </w:pPr>
      <w:r>
        <w:rPr>
          <w:sz w:val="24"/>
          <w:szCs w:val="24"/>
          <w:lang w:val="en-US"/>
        </w:rPr>
        <w:lastRenderedPageBreak/>
        <w:t>However, our great reputation is at risk of being destroyed and there are forces willing this to happen – here’s why.</w:t>
      </w:r>
    </w:p>
    <w:p w14:paraId="2E604079" w14:textId="4FDA8610" w:rsidR="009030AD" w:rsidRDefault="009030AD" w:rsidP="009030AD">
      <w:pPr>
        <w:spacing w:line="360" w:lineRule="auto"/>
        <w:rPr>
          <w:sz w:val="24"/>
          <w:szCs w:val="24"/>
          <w:lang w:val="en-US"/>
        </w:rPr>
      </w:pPr>
      <w:r>
        <w:rPr>
          <w:sz w:val="24"/>
          <w:szCs w:val="24"/>
          <w:lang w:val="en-US"/>
        </w:rPr>
        <w:t>At the end of last year, i</w:t>
      </w:r>
      <w:r w:rsidRPr="009030AD">
        <w:rPr>
          <w:sz w:val="24"/>
          <w:szCs w:val="24"/>
          <w:lang w:val="en-US"/>
        </w:rPr>
        <w:t xml:space="preserve">mporters </w:t>
      </w:r>
      <w:r>
        <w:rPr>
          <w:sz w:val="24"/>
          <w:szCs w:val="24"/>
          <w:lang w:val="en-US"/>
        </w:rPr>
        <w:t xml:space="preserve">of olive oil </w:t>
      </w:r>
      <w:r w:rsidRPr="009030AD">
        <w:rPr>
          <w:sz w:val="24"/>
          <w:szCs w:val="24"/>
          <w:lang w:val="en-US"/>
        </w:rPr>
        <w:t>initiated a strategic campaign to promote imported olive oil over Australian product</w:t>
      </w:r>
      <w:r>
        <w:rPr>
          <w:sz w:val="24"/>
          <w:szCs w:val="24"/>
          <w:lang w:val="en-US"/>
        </w:rPr>
        <w:t>.</w:t>
      </w:r>
      <w:r>
        <w:rPr>
          <w:sz w:val="24"/>
          <w:szCs w:val="24"/>
        </w:rPr>
        <w:t xml:space="preserve">  These importers</w:t>
      </w:r>
      <w:r w:rsidRPr="009030AD">
        <w:rPr>
          <w:sz w:val="24"/>
          <w:szCs w:val="24"/>
          <w:lang w:val="en-US"/>
        </w:rPr>
        <w:t xml:space="preserve"> are not supporting Extra Virgin Olive Oil because this is what Australia mostly produces and the rest of the world produces lesser quality</w:t>
      </w:r>
      <w:r>
        <w:rPr>
          <w:sz w:val="24"/>
          <w:szCs w:val="24"/>
          <w:lang w:val="en-US"/>
        </w:rPr>
        <w:t xml:space="preserve"> making it harder for them to sell a lesser product in the Australian market.</w:t>
      </w:r>
      <w:r>
        <w:rPr>
          <w:sz w:val="24"/>
          <w:szCs w:val="24"/>
        </w:rPr>
        <w:t xml:space="preserve"> </w:t>
      </w:r>
      <w:r w:rsidRPr="009030AD">
        <w:rPr>
          <w:sz w:val="24"/>
          <w:szCs w:val="24"/>
          <w:lang w:val="en-US"/>
        </w:rPr>
        <w:t>Importers will latch onto any reason why Australian EVOO should not be consumed to promote their position</w:t>
      </w:r>
      <w:r>
        <w:rPr>
          <w:sz w:val="24"/>
          <w:szCs w:val="24"/>
        </w:rPr>
        <w:t>, and a</w:t>
      </w:r>
      <w:r w:rsidRPr="009030AD">
        <w:rPr>
          <w:sz w:val="24"/>
          <w:szCs w:val="24"/>
          <w:lang w:val="en-US"/>
        </w:rPr>
        <w:t xml:space="preserve"> lead mine in an olive growing region gives the importers that reason</w:t>
      </w:r>
      <w:r>
        <w:rPr>
          <w:sz w:val="24"/>
          <w:szCs w:val="24"/>
          <w:lang w:val="en-US"/>
        </w:rPr>
        <w:t>!</w:t>
      </w:r>
    </w:p>
    <w:p w14:paraId="6E2767A0" w14:textId="1BBED71B" w:rsidR="007843F2" w:rsidRPr="007843F2" w:rsidRDefault="007843F2" w:rsidP="007843F2">
      <w:pPr>
        <w:spacing w:line="360" w:lineRule="auto"/>
      </w:pPr>
      <w:r>
        <w:rPr>
          <w:sz w:val="24"/>
          <w:szCs w:val="24"/>
          <w:lang w:val="en-US"/>
        </w:rPr>
        <w:t xml:space="preserve">With specific reference to the </w:t>
      </w:r>
      <w:r w:rsidR="000B0D1F">
        <w:rPr>
          <w:sz w:val="24"/>
          <w:szCs w:val="24"/>
          <w:lang w:val="en-US"/>
        </w:rPr>
        <w:t>NSW Department of Planning and Environment (DPE)</w:t>
      </w:r>
      <w:r>
        <w:rPr>
          <w:sz w:val="24"/>
          <w:szCs w:val="24"/>
          <w:lang w:val="en-US"/>
        </w:rPr>
        <w:t xml:space="preserve"> report, under </w:t>
      </w:r>
      <w:r w:rsidRPr="007843F2">
        <w:rPr>
          <w:lang w:val="en-US"/>
        </w:rPr>
        <w:t xml:space="preserve">Agricultural Impacts </w:t>
      </w:r>
      <w:r>
        <w:rPr>
          <w:lang w:val="en-US"/>
        </w:rPr>
        <w:t>on page</w:t>
      </w:r>
      <w:r w:rsidRPr="007843F2">
        <w:rPr>
          <w:lang w:val="en-US"/>
        </w:rPr>
        <w:t xml:space="preserve"> 78</w:t>
      </w:r>
      <w:r>
        <w:rPr>
          <w:lang w:val="en-US"/>
        </w:rPr>
        <w:t>, the report states:</w:t>
      </w:r>
    </w:p>
    <w:p w14:paraId="78BF4C00" w14:textId="4759F72C" w:rsidR="007843F2" w:rsidRPr="007843F2" w:rsidRDefault="007843F2" w:rsidP="007843F2">
      <w:pPr>
        <w:spacing w:line="360" w:lineRule="auto"/>
        <w:rPr>
          <w:sz w:val="24"/>
          <w:szCs w:val="24"/>
        </w:rPr>
      </w:pPr>
      <w:r>
        <w:rPr>
          <w:i/>
          <w:iCs/>
          <w:sz w:val="24"/>
          <w:szCs w:val="24"/>
          <w:lang w:val="en-US"/>
        </w:rPr>
        <w:t>“</w:t>
      </w:r>
      <w:r w:rsidRPr="007843F2">
        <w:rPr>
          <w:i/>
          <w:iCs/>
          <w:sz w:val="24"/>
          <w:szCs w:val="24"/>
          <w:lang w:val="en-US"/>
        </w:rPr>
        <w:t xml:space="preserve">enRiskS also determined that </w:t>
      </w:r>
      <w:r w:rsidRPr="007843F2">
        <w:rPr>
          <w:b/>
          <w:bCs/>
          <w:i/>
          <w:iCs/>
          <w:sz w:val="24"/>
          <w:szCs w:val="24"/>
          <w:u w:val="single"/>
          <w:lang w:val="en-US"/>
        </w:rPr>
        <w:t>contributions of lead to soil and water would be negligible</w:t>
      </w:r>
      <w:r w:rsidRPr="007843F2">
        <w:rPr>
          <w:i/>
          <w:iCs/>
          <w:sz w:val="24"/>
          <w:szCs w:val="24"/>
          <w:lang w:val="en-US"/>
        </w:rPr>
        <w:t xml:space="preserve">, with the incremental increase in lead in agricultural soil at the maximum impacted receptor as a result of the project predicted to be below the detection limit for lead in soil (and deposition decreasing with increasing distance from the mine site). enRiskS also noted that </w:t>
      </w:r>
      <w:r w:rsidRPr="007843F2">
        <w:rPr>
          <w:b/>
          <w:bCs/>
          <w:i/>
          <w:iCs/>
          <w:sz w:val="24"/>
          <w:szCs w:val="24"/>
          <w:u w:val="single"/>
          <w:lang w:val="en-US"/>
        </w:rPr>
        <w:t>lead is poorly taken up into plants, so impacts on crops are unlikely</w:t>
      </w:r>
      <w:r>
        <w:rPr>
          <w:i/>
          <w:iCs/>
          <w:sz w:val="24"/>
          <w:szCs w:val="24"/>
          <w:lang w:val="en-US"/>
        </w:rPr>
        <w:t>”</w:t>
      </w:r>
      <w:r w:rsidRPr="007843F2">
        <w:rPr>
          <w:i/>
          <w:iCs/>
          <w:sz w:val="24"/>
          <w:szCs w:val="24"/>
          <w:lang w:val="en-US"/>
        </w:rPr>
        <w:t>.</w:t>
      </w:r>
    </w:p>
    <w:p w14:paraId="5DD384F9" w14:textId="61968F22" w:rsidR="007843F2" w:rsidRDefault="007843F2" w:rsidP="007843F2">
      <w:pPr>
        <w:spacing w:line="360" w:lineRule="auto"/>
        <w:rPr>
          <w:sz w:val="24"/>
          <w:szCs w:val="24"/>
          <w:lang w:val="en-US"/>
        </w:rPr>
      </w:pPr>
      <w:r>
        <w:rPr>
          <w:sz w:val="24"/>
          <w:szCs w:val="24"/>
          <w:lang w:val="en-US"/>
        </w:rPr>
        <w:t>e</w:t>
      </w:r>
      <w:r w:rsidRPr="007843F2">
        <w:rPr>
          <w:sz w:val="24"/>
          <w:szCs w:val="24"/>
          <w:lang w:val="en-US"/>
        </w:rPr>
        <w:t>n</w:t>
      </w:r>
      <w:r>
        <w:rPr>
          <w:sz w:val="24"/>
          <w:szCs w:val="24"/>
          <w:lang w:val="en-US"/>
        </w:rPr>
        <w:t>R</w:t>
      </w:r>
      <w:r w:rsidRPr="007843F2">
        <w:rPr>
          <w:sz w:val="24"/>
          <w:szCs w:val="24"/>
          <w:lang w:val="en-US"/>
        </w:rPr>
        <w:t>isk</w:t>
      </w:r>
      <w:r>
        <w:rPr>
          <w:sz w:val="24"/>
          <w:szCs w:val="24"/>
          <w:lang w:val="en-US"/>
        </w:rPr>
        <w:t>S’</w:t>
      </w:r>
      <w:r w:rsidRPr="007843F2">
        <w:rPr>
          <w:sz w:val="24"/>
          <w:szCs w:val="24"/>
          <w:lang w:val="en-US"/>
        </w:rPr>
        <w:t xml:space="preserve"> report indicated</w:t>
      </w:r>
      <w:r>
        <w:rPr>
          <w:sz w:val="24"/>
          <w:szCs w:val="24"/>
          <w:lang w:val="en-US"/>
        </w:rPr>
        <w:t xml:space="preserve"> the</w:t>
      </w:r>
      <w:r w:rsidRPr="007843F2">
        <w:rPr>
          <w:sz w:val="24"/>
          <w:szCs w:val="24"/>
          <w:lang w:val="en-US"/>
        </w:rPr>
        <w:t xml:space="preserve"> bioaccessibility of </w:t>
      </w:r>
      <w:r>
        <w:rPr>
          <w:sz w:val="24"/>
          <w:szCs w:val="24"/>
          <w:lang w:val="en-US"/>
        </w:rPr>
        <w:t>lead</w:t>
      </w:r>
      <w:r w:rsidRPr="007843F2">
        <w:rPr>
          <w:sz w:val="24"/>
          <w:szCs w:val="24"/>
          <w:lang w:val="en-US"/>
        </w:rPr>
        <w:t xml:space="preserve"> was 33% - this was from soil samples taken mostly at 0-5 cm with only 1 sample taken from 30-60 cm.  How representative is this of the mine?  </w:t>
      </w:r>
      <w:r>
        <w:rPr>
          <w:sz w:val="24"/>
          <w:szCs w:val="24"/>
          <w:lang w:val="en-US"/>
        </w:rPr>
        <w:t>The enRiskS report says on page 71 that t</w:t>
      </w:r>
      <w:r w:rsidRPr="007843F2">
        <w:rPr>
          <w:sz w:val="24"/>
          <w:szCs w:val="24"/>
          <w:lang w:val="en-US"/>
        </w:rPr>
        <w:t xml:space="preserve">his value </w:t>
      </w:r>
      <w:r>
        <w:rPr>
          <w:sz w:val="24"/>
          <w:szCs w:val="24"/>
          <w:lang w:val="en-US"/>
        </w:rPr>
        <w:t>“..</w:t>
      </w:r>
      <w:r w:rsidRPr="007843F2">
        <w:rPr>
          <w:i/>
          <w:iCs/>
          <w:sz w:val="24"/>
          <w:szCs w:val="24"/>
          <w:u w:val="single"/>
          <w:lang w:val="en-US"/>
        </w:rPr>
        <w:t>only relates the ingestion of soil or dust, not the ingestion of lead from any other media such as water or food products</w:t>
      </w:r>
      <w:r>
        <w:rPr>
          <w:i/>
          <w:iCs/>
          <w:sz w:val="24"/>
          <w:szCs w:val="24"/>
          <w:u w:val="single"/>
          <w:lang w:val="en-US"/>
        </w:rPr>
        <w:t>”</w:t>
      </w:r>
      <w:r w:rsidRPr="007843F2">
        <w:rPr>
          <w:sz w:val="24"/>
          <w:szCs w:val="24"/>
          <w:lang w:val="en-US"/>
        </w:rPr>
        <w:t xml:space="preserve">. </w:t>
      </w:r>
    </w:p>
    <w:p w14:paraId="67FDF4D9" w14:textId="56D9D1A2" w:rsidR="00083950" w:rsidRPr="007843F2" w:rsidRDefault="00083950" w:rsidP="007843F2">
      <w:pPr>
        <w:spacing w:line="360" w:lineRule="auto"/>
        <w:rPr>
          <w:sz w:val="24"/>
          <w:szCs w:val="24"/>
        </w:rPr>
      </w:pPr>
      <w:r>
        <w:rPr>
          <w:sz w:val="24"/>
          <w:szCs w:val="24"/>
          <w:lang w:val="en-US"/>
        </w:rPr>
        <w:t xml:space="preserve">They also showed (in the table below) that there was significantly more lead </w:t>
      </w:r>
      <w:r w:rsidR="00E76B9E">
        <w:rPr>
          <w:sz w:val="24"/>
          <w:szCs w:val="24"/>
          <w:lang w:val="en-US"/>
        </w:rPr>
        <w:t xml:space="preserve">at site 67 </w:t>
      </w:r>
      <w:r>
        <w:rPr>
          <w:sz w:val="24"/>
          <w:szCs w:val="24"/>
          <w:lang w:val="en-US"/>
        </w:rPr>
        <w:t xml:space="preserve">at </w:t>
      </w:r>
      <w:r w:rsidR="00E76B9E">
        <w:rPr>
          <w:sz w:val="24"/>
          <w:szCs w:val="24"/>
          <w:lang w:val="en-US"/>
        </w:rPr>
        <w:t xml:space="preserve">5-15 and 30-60 cm </w:t>
      </w:r>
      <w:r>
        <w:rPr>
          <w:sz w:val="24"/>
          <w:szCs w:val="24"/>
          <w:lang w:val="en-US"/>
        </w:rPr>
        <w:t xml:space="preserve">depth </w:t>
      </w:r>
      <w:r w:rsidR="00E02027">
        <w:rPr>
          <w:sz w:val="24"/>
          <w:szCs w:val="24"/>
          <w:lang w:val="en-US"/>
        </w:rPr>
        <w:t xml:space="preserve">compared with all other sites samples at 0-5 cm depth, </w:t>
      </w:r>
      <w:r>
        <w:rPr>
          <w:sz w:val="24"/>
          <w:szCs w:val="24"/>
          <w:lang w:val="en-US"/>
        </w:rPr>
        <w:t>in their testing for lead.</w:t>
      </w:r>
    </w:p>
    <w:p w14:paraId="0D55E9C2" w14:textId="0FE74DC3" w:rsidR="007843F2" w:rsidRPr="009030AD" w:rsidRDefault="00070E78" w:rsidP="009030AD">
      <w:pPr>
        <w:spacing w:line="360" w:lineRule="auto"/>
        <w:rPr>
          <w:sz w:val="24"/>
          <w:szCs w:val="24"/>
        </w:rPr>
      </w:pPr>
      <w:r>
        <w:rPr>
          <w:noProof/>
          <w:sz w:val="24"/>
          <w:szCs w:val="24"/>
        </w:rPr>
        <w:lastRenderedPageBreak/>
        <mc:AlternateContent>
          <mc:Choice Requires="wpi">
            <w:drawing>
              <wp:anchor distT="0" distB="0" distL="114300" distR="114300" simplePos="0" relativeHeight="251659264" behindDoc="0" locked="0" layoutInCell="1" allowOverlap="1" wp14:anchorId="379EE4CB" wp14:editId="2785E6C0">
                <wp:simplePos x="0" y="0"/>
                <wp:positionH relativeFrom="column">
                  <wp:posOffset>102150</wp:posOffset>
                </wp:positionH>
                <wp:positionV relativeFrom="paragraph">
                  <wp:posOffset>2932290</wp:posOffset>
                </wp:positionV>
                <wp:extent cx="5127480" cy="641160"/>
                <wp:effectExtent l="38100" t="38100" r="54610" b="45085"/>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5127480" cy="641160"/>
                      </w14:xfrm>
                    </w14:contentPart>
                  </a:graphicData>
                </a:graphic>
              </wp:anchor>
            </w:drawing>
          </mc:Choice>
          <mc:Fallback>
            <w:pict>
              <v:shapetype w14:anchorId="645C57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35pt;margin-top:230.2pt;width:405.2pt;height:5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">
                <v:imagedata r:id="rId7" o:title=""/>
              </v:shape>
            </w:pict>
          </mc:Fallback>
        </mc:AlternateContent>
      </w:r>
      <w:r w:rsidR="00083950" w:rsidRPr="00083950">
        <w:rPr>
          <w:noProof/>
          <w:sz w:val="24"/>
          <w:szCs w:val="24"/>
        </w:rPr>
        <w:drawing>
          <wp:inline distT="0" distB="0" distL="0" distR="0" wp14:anchorId="4646764F" wp14:editId="18358CD1">
            <wp:extent cx="5668166" cy="5591955"/>
            <wp:effectExtent l="0" t="0" r="8890" b="8890"/>
            <wp:docPr id="7" name="Picture 6" descr="Table&#10;&#10;Description automatically generated">
              <a:extLst xmlns:a="http://schemas.openxmlformats.org/drawingml/2006/main">
                <a:ext uri="{FF2B5EF4-FFF2-40B4-BE49-F238E27FC236}">
                  <a16:creationId xmlns:a16="http://schemas.microsoft.com/office/drawing/2014/main" id="{A7472E3D-9530-AB6D-03F9-804AA4D64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le&#10;&#10;Description automatically generated">
                      <a:extLst>
                        <a:ext uri="{FF2B5EF4-FFF2-40B4-BE49-F238E27FC236}">
                          <a16:creationId xmlns:a16="http://schemas.microsoft.com/office/drawing/2014/main" id="{A7472E3D-9530-AB6D-03F9-804AA4D646F6}"/>
                        </a:ext>
                      </a:extLst>
                    </pic:cNvPr>
                    <pic:cNvPicPr>
                      <a:picLocks noChangeAspect="1"/>
                    </pic:cNvPicPr>
                  </pic:nvPicPr>
                  <pic:blipFill>
                    <a:blip r:embed="rId8"/>
                    <a:stretch>
                      <a:fillRect/>
                    </a:stretch>
                  </pic:blipFill>
                  <pic:spPr>
                    <a:xfrm>
                      <a:off x="0" y="0"/>
                      <a:ext cx="5668166" cy="5591955"/>
                    </a:xfrm>
                    <a:prstGeom prst="rect">
                      <a:avLst/>
                    </a:prstGeom>
                  </pic:spPr>
                </pic:pic>
              </a:graphicData>
            </a:graphic>
          </wp:inline>
        </w:drawing>
      </w:r>
    </w:p>
    <w:p w14:paraId="2BBCE587" w14:textId="4B3BF9D5" w:rsidR="0080390E" w:rsidRPr="0080390E" w:rsidRDefault="0080390E" w:rsidP="0080390E">
      <w:pPr>
        <w:spacing w:line="360" w:lineRule="auto"/>
      </w:pPr>
      <w:r>
        <w:rPr>
          <w:sz w:val="24"/>
          <w:szCs w:val="24"/>
        </w:rPr>
        <w:t xml:space="preserve">With regard the uptake of lead by plants, </w:t>
      </w:r>
      <w:r>
        <w:rPr>
          <w:lang w:val="en-US"/>
        </w:rPr>
        <w:t>e</w:t>
      </w:r>
      <w:r w:rsidRPr="0080390E">
        <w:rPr>
          <w:lang w:val="en-US"/>
        </w:rPr>
        <w:t>n</w:t>
      </w:r>
      <w:r>
        <w:rPr>
          <w:lang w:val="en-US"/>
        </w:rPr>
        <w:t>R</w:t>
      </w:r>
      <w:r w:rsidRPr="0080390E">
        <w:rPr>
          <w:lang w:val="en-US"/>
        </w:rPr>
        <w:t>isk</w:t>
      </w:r>
      <w:r>
        <w:rPr>
          <w:lang w:val="en-US"/>
        </w:rPr>
        <w:t>S’</w:t>
      </w:r>
      <w:r w:rsidRPr="0080390E">
        <w:rPr>
          <w:lang w:val="en-US"/>
        </w:rPr>
        <w:t xml:space="preserve"> report indicated modell</w:t>
      </w:r>
      <w:r>
        <w:rPr>
          <w:lang w:val="en-US"/>
        </w:rPr>
        <w:t>ing was via</w:t>
      </w:r>
      <w:r w:rsidRPr="0080390E">
        <w:rPr>
          <w:lang w:val="en-US"/>
        </w:rPr>
        <w:t xml:space="preserve"> the uptake of “persistent chemical substances” into edible crops following atmospheric deposition and via the roots.  These models </w:t>
      </w:r>
      <w:r w:rsidRPr="0080390E">
        <w:rPr>
          <w:i/>
          <w:iCs/>
          <w:lang w:val="en-US"/>
        </w:rPr>
        <w:t xml:space="preserve">calculated the potential accumulation of persistent and bioaccumulative chemical substances in soil (relevant to Project emissions), which may be the result of </w:t>
      </w:r>
      <w:r w:rsidRPr="0080390E">
        <w:rPr>
          <w:b/>
          <w:bCs/>
          <w:i/>
          <w:iCs/>
          <w:lang w:val="en-US"/>
        </w:rPr>
        <w:t>deposition from a number of air emissions sources</w:t>
      </w:r>
      <w:r>
        <w:rPr>
          <w:b/>
          <w:bCs/>
          <w:i/>
          <w:iCs/>
          <w:lang w:val="en-US"/>
        </w:rPr>
        <w:t>.</w:t>
      </w:r>
    </w:p>
    <w:p w14:paraId="08BE39F9" w14:textId="56EC4621" w:rsidR="0080390E" w:rsidRDefault="0080390E" w:rsidP="0080390E">
      <w:pPr>
        <w:spacing w:line="360" w:lineRule="auto"/>
        <w:rPr>
          <w:b/>
          <w:bCs/>
          <w:sz w:val="24"/>
          <w:szCs w:val="24"/>
          <w:lang w:val="en-US"/>
        </w:rPr>
      </w:pPr>
      <w:r w:rsidRPr="0080390E">
        <w:rPr>
          <w:b/>
          <w:bCs/>
          <w:sz w:val="24"/>
          <w:szCs w:val="24"/>
          <w:lang w:val="en-US"/>
        </w:rPr>
        <w:t>HOWEVER-</w:t>
      </w:r>
    </w:p>
    <w:p w14:paraId="3A5F7E8A" w14:textId="4E5896A5" w:rsidR="0080390E" w:rsidRDefault="0080390E" w:rsidP="0080390E">
      <w:pPr>
        <w:spacing w:line="360" w:lineRule="auto"/>
        <w:rPr>
          <w:sz w:val="24"/>
          <w:szCs w:val="24"/>
          <w:lang w:val="en-US"/>
        </w:rPr>
      </w:pPr>
      <w:r w:rsidRPr="0080390E">
        <w:rPr>
          <w:sz w:val="24"/>
          <w:szCs w:val="24"/>
          <w:lang w:val="en-US"/>
        </w:rPr>
        <w:t xml:space="preserve">Acid Mine Drainage </w:t>
      </w:r>
      <w:r>
        <w:rPr>
          <w:sz w:val="24"/>
          <w:szCs w:val="24"/>
          <w:lang w:val="en-US"/>
        </w:rPr>
        <w:t xml:space="preserve">(AMD) </w:t>
      </w:r>
      <w:r w:rsidRPr="0080390E">
        <w:rPr>
          <w:sz w:val="24"/>
          <w:szCs w:val="24"/>
          <w:lang w:val="en-US"/>
        </w:rPr>
        <w:t>is a significant risk</w:t>
      </w:r>
      <w:r>
        <w:rPr>
          <w:sz w:val="24"/>
          <w:szCs w:val="24"/>
          <w:lang w:val="en-US"/>
        </w:rPr>
        <w:t xml:space="preserve"> in this project as outlined by the reports.</w:t>
      </w:r>
      <w:r>
        <w:rPr>
          <w:sz w:val="24"/>
          <w:szCs w:val="24"/>
        </w:rPr>
        <w:t xml:space="preserve">  </w:t>
      </w:r>
      <w:r w:rsidRPr="0080390E">
        <w:rPr>
          <w:sz w:val="24"/>
          <w:szCs w:val="24"/>
          <w:lang w:val="en-US"/>
        </w:rPr>
        <w:t xml:space="preserve">Low pH </w:t>
      </w:r>
      <w:r>
        <w:rPr>
          <w:sz w:val="24"/>
          <w:szCs w:val="24"/>
          <w:lang w:val="en-US"/>
        </w:rPr>
        <w:t xml:space="preserve">or acidic </w:t>
      </w:r>
      <w:r w:rsidRPr="0080390E">
        <w:rPr>
          <w:sz w:val="24"/>
          <w:szCs w:val="24"/>
          <w:lang w:val="en-US"/>
        </w:rPr>
        <w:t>water created by AMD solubilizes heavy metals such as C</w:t>
      </w:r>
      <w:r>
        <w:rPr>
          <w:sz w:val="24"/>
          <w:szCs w:val="24"/>
          <w:lang w:val="en-US"/>
        </w:rPr>
        <w:t>opper</w:t>
      </w:r>
      <w:r w:rsidRPr="0080390E">
        <w:rPr>
          <w:sz w:val="24"/>
          <w:szCs w:val="24"/>
          <w:lang w:val="en-US"/>
        </w:rPr>
        <w:t>, Z</w:t>
      </w:r>
      <w:r>
        <w:rPr>
          <w:sz w:val="24"/>
          <w:szCs w:val="24"/>
          <w:lang w:val="en-US"/>
        </w:rPr>
        <w:t>i</w:t>
      </w:r>
      <w:r w:rsidRPr="0080390E">
        <w:rPr>
          <w:sz w:val="24"/>
          <w:szCs w:val="24"/>
          <w:lang w:val="en-US"/>
        </w:rPr>
        <w:t>n</w:t>
      </w:r>
      <w:r>
        <w:rPr>
          <w:sz w:val="24"/>
          <w:szCs w:val="24"/>
          <w:lang w:val="en-US"/>
        </w:rPr>
        <w:t>c</w:t>
      </w:r>
      <w:r w:rsidRPr="0080390E">
        <w:rPr>
          <w:sz w:val="24"/>
          <w:szCs w:val="24"/>
          <w:lang w:val="en-US"/>
        </w:rPr>
        <w:t xml:space="preserve"> and </w:t>
      </w:r>
      <w:r w:rsidR="00AA4F0A">
        <w:rPr>
          <w:sz w:val="24"/>
          <w:szCs w:val="24"/>
          <w:lang w:val="en-US"/>
        </w:rPr>
        <w:t>Lead.</w:t>
      </w:r>
      <w:r w:rsidRPr="0080390E">
        <w:rPr>
          <w:sz w:val="24"/>
          <w:szCs w:val="24"/>
          <w:lang w:val="en-US"/>
        </w:rPr>
        <w:t>*</w:t>
      </w:r>
      <w:r w:rsidR="00AA4F0A">
        <w:rPr>
          <w:sz w:val="24"/>
          <w:szCs w:val="24"/>
        </w:rPr>
        <w:t xml:space="preserve">  </w:t>
      </w:r>
      <w:r w:rsidRPr="0080390E">
        <w:rPr>
          <w:sz w:val="24"/>
          <w:szCs w:val="24"/>
          <w:lang w:val="en-US"/>
        </w:rPr>
        <w:t xml:space="preserve">Solubilised </w:t>
      </w:r>
      <w:r w:rsidR="00AA4F0A">
        <w:rPr>
          <w:sz w:val="24"/>
          <w:szCs w:val="24"/>
          <w:lang w:val="en-US"/>
        </w:rPr>
        <w:t>Lead</w:t>
      </w:r>
      <w:r w:rsidRPr="0080390E">
        <w:rPr>
          <w:sz w:val="24"/>
          <w:szCs w:val="24"/>
          <w:lang w:val="en-US"/>
        </w:rPr>
        <w:t xml:space="preserve"> reaching the water table</w:t>
      </w:r>
      <w:r w:rsidR="00AA4F0A">
        <w:rPr>
          <w:sz w:val="24"/>
          <w:szCs w:val="24"/>
          <w:lang w:val="en-US"/>
        </w:rPr>
        <w:t xml:space="preserve"> and water </w:t>
      </w:r>
      <w:r w:rsidRPr="0080390E">
        <w:rPr>
          <w:sz w:val="24"/>
          <w:szCs w:val="24"/>
          <w:lang w:val="en-US"/>
        </w:rPr>
        <w:t xml:space="preserve">water courses presents a significant pathway for </w:t>
      </w:r>
      <w:r w:rsidR="00AA4F0A">
        <w:rPr>
          <w:sz w:val="24"/>
          <w:szCs w:val="24"/>
          <w:lang w:val="en-US"/>
        </w:rPr>
        <w:t>Lead</w:t>
      </w:r>
      <w:r w:rsidRPr="0080390E">
        <w:rPr>
          <w:sz w:val="24"/>
          <w:szCs w:val="24"/>
          <w:lang w:val="en-US"/>
        </w:rPr>
        <w:t xml:space="preserve"> to be taken up by plants (olives) from soil water and irrigat</w:t>
      </w:r>
      <w:r w:rsidR="00AA4F0A">
        <w:rPr>
          <w:sz w:val="24"/>
          <w:szCs w:val="24"/>
          <w:lang w:val="en-US"/>
        </w:rPr>
        <w:t>ion water from</w:t>
      </w:r>
      <w:r w:rsidRPr="0080390E">
        <w:rPr>
          <w:sz w:val="24"/>
          <w:szCs w:val="24"/>
          <w:lang w:val="en-US"/>
        </w:rPr>
        <w:t xml:space="preserve"> </w:t>
      </w:r>
      <w:r w:rsidRPr="0080390E">
        <w:rPr>
          <w:sz w:val="24"/>
          <w:szCs w:val="24"/>
          <w:lang w:val="en-US"/>
        </w:rPr>
        <w:lastRenderedPageBreak/>
        <w:t>bore</w:t>
      </w:r>
      <w:r w:rsidR="00AA4F0A">
        <w:rPr>
          <w:sz w:val="24"/>
          <w:szCs w:val="24"/>
          <w:lang w:val="en-US"/>
        </w:rPr>
        <w:t xml:space="preserve">s, </w:t>
      </w:r>
      <w:r w:rsidRPr="0080390E">
        <w:rPr>
          <w:sz w:val="24"/>
          <w:szCs w:val="24"/>
          <w:lang w:val="en-US"/>
        </w:rPr>
        <w:t>dam</w:t>
      </w:r>
      <w:r w:rsidR="00AA4F0A">
        <w:rPr>
          <w:sz w:val="24"/>
          <w:szCs w:val="24"/>
          <w:lang w:val="en-US"/>
        </w:rPr>
        <w:t xml:space="preserve">s, and </w:t>
      </w:r>
      <w:r w:rsidRPr="0080390E">
        <w:rPr>
          <w:sz w:val="24"/>
          <w:szCs w:val="24"/>
          <w:lang w:val="en-US"/>
        </w:rPr>
        <w:t>creek wat</w:t>
      </w:r>
      <w:r w:rsidR="00AA4F0A">
        <w:rPr>
          <w:sz w:val="24"/>
          <w:szCs w:val="24"/>
          <w:lang w:val="en-US"/>
        </w:rPr>
        <w:t>er.</w:t>
      </w:r>
      <w:r w:rsidR="00AA4F0A">
        <w:rPr>
          <w:sz w:val="24"/>
          <w:szCs w:val="24"/>
        </w:rPr>
        <w:t xml:space="preserve">  </w:t>
      </w:r>
      <w:r w:rsidRPr="0080390E">
        <w:rPr>
          <w:sz w:val="24"/>
          <w:szCs w:val="24"/>
          <w:lang w:val="en-US"/>
        </w:rPr>
        <w:t xml:space="preserve">The enRiskS report did not address this significant pathway for </w:t>
      </w:r>
      <w:r w:rsidR="00AA4F0A">
        <w:rPr>
          <w:sz w:val="24"/>
          <w:szCs w:val="24"/>
          <w:lang w:val="en-US"/>
        </w:rPr>
        <w:t>Lead</w:t>
      </w:r>
      <w:r w:rsidRPr="0080390E">
        <w:rPr>
          <w:sz w:val="24"/>
          <w:szCs w:val="24"/>
          <w:lang w:val="en-US"/>
        </w:rPr>
        <w:t xml:space="preserve"> to enter local food production</w:t>
      </w:r>
      <w:r w:rsidR="00AA4F0A">
        <w:rPr>
          <w:sz w:val="24"/>
          <w:szCs w:val="24"/>
          <w:lang w:val="en-US"/>
        </w:rPr>
        <w:t>.</w:t>
      </w:r>
    </w:p>
    <w:p w14:paraId="5A508C5B" w14:textId="509CFF46" w:rsidR="00070E78" w:rsidRDefault="00070E78" w:rsidP="00070E78">
      <w:pPr>
        <w:spacing w:line="360" w:lineRule="auto"/>
        <w:rPr>
          <w:sz w:val="24"/>
          <w:szCs w:val="24"/>
          <w:lang w:val="en-US"/>
        </w:rPr>
      </w:pPr>
      <w:r>
        <w:rPr>
          <w:sz w:val="24"/>
          <w:szCs w:val="24"/>
          <w:lang w:val="en-US"/>
        </w:rPr>
        <w:t>Lead</w:t>
      </w:r>
      <w:r w:rsidRPr="00070E78">
        <w:rPr>
          <w:sz w:val="24"/>
          <w:szCs w:val="24"/>
          <w:lang w:val="en-US"/>
        </w:rPr>
        <w:t xml:space="preserve"> is absorbed by plants mainly through the roots from soil solution and causes lipid peroxidation (ie in the case of olive trees </w:t>
      </w:r>
      <w:r w:rsidRPr="00070E78">
        <w:rPr>
          <w:b/>
          <w:bCs/>
          <w:sz w:val="24"/>
          <w:szCs w:val="24"/>
          <w:lang w:val="en-US"/>
        </w:rPr>
        <w:t>destroys the quality of olive oil!</w:t>
      </w:r>
      <w:r w:rsidRPr="00070E78">
        <w:rPr>
          <w:sz w:val="24"/>
          <w:szCs w:val="24"/>
          <w:lang w:val="en-US"/>
        </w:rPr>
        <w:t>)*</w:t>
      </w:r>
      <w:r>
        <w:rPr>
          <w:sz w:val="24"/>
          <w:szCs w:val="24"/>
          <w:lang w:val="en-US"/>
        </w:rPr>
        <w:t>*</w:t>
      </w:r>
    </w:p>
    <w:p w14:paraId="31F9FF4A" w14:textId="043134F6" w:rsidR="00070E78" w:rsidRDefault="00070E78" w:rsidP="00070E78">
      <w:pPr>
        <w:spacing w:line="360" w:lineRule="auto"/>
        <w:rPr>
          <w:sz w:val="24"/>
          <w:szCs w:val="24"/>
          <w:lang w:val="en-US"/>
        </w:rPr>
      </w:pPr>
      <w:r>
        <w:rPr>
          <w:sz w:val="24"/>
          <w:szCs w:val="24"/>
          <w:lang w:val="en-US"/>
        </w:rPr>
        <w:t>Figure 1.</w:t>
      </w:r>
    </w:p>
    <w:p w14:paraId="0446A8D2" w14:textId="6EC96375" w:rsidR="00070E78" w:rsidRDefault="00070E78" w:rsidP="0092662A">
      <w:pPr>
        <w:spacing w:line="360" w:lineRule="auto"/>
        <w:jc w:val="center"/>
        <w:rPr>
          <w:sz w:val="24"/>
          <w:szCs w:val="24"/>
        </w:rPr>
      </w:pPr>
      <w:r w:rsidRPr="00070E78">
        <w:rPr>
          <w:noProof/>
          <w:sz w:val="24"/>
          <w:szCs w:val="24"/>
        </w:rPr>
        <w:drawing>
          <wp:inline distT="0" distB="0" distL="0" distR="0" wp14:anchorId="53A4E02A" wp14:editId="582F8D53">
            <wp:extent cx="4010025" cy="2197029"/>
            <wp:effectExtent l="0" t="0" r="0" b="0"/>
            <wp:docPr id="6" name="Picture 5">
              <a:extLst xmlns:a="http://schemas.openxmlformats.org/drawingml/2006/main">
                <a:ext uri="{FF2B5EF4-FFF2-40B4-BE49-F238E27FC236}">
                  <a16:creationId xmlns:a16="http://schemas.microsoft.com/office/drawing/2014/main" id="{D301511F-C7DD-FC1F-A2DE-804278F1C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301511F-C7DD-FC1F-A2DE-804278F1CCC2}"/>
                        </a:ext>
                      </a:extLst>
                    </pic:cNvPr>
                    <pic:cNvPicPr>
                      <a:picLocks noChangeAspect="1"/>
                    </pic:cNvPicPr>
                  </pic:nvPicPr>
                  <pic:blipFill>
                    <a:blip r:embed="rId9"/>
                    <a:stretch>
                      <a:fillRect/>
                    </a:stretch>
                  </pic:blipFill>
                  <pic:spPr>
                    <a:xfrm>
                      <a:off x="0" y="0"/>
                      <a:ext cx="4017240" cy="2200982"/>
                    </a:xfrm>
                    <a:prstGeom prst="rect">
                      <a:avLst/>
                    </a:prstGeom>
                  </pic:spPr>
                </pic:pic>
              </a:graphicData>
            </a:graphic>
          </wp:inline>
        </w:drawing>
      </w:r>
    </w:p>
    <w:p w14:paraId="249D5B2C" w14:textId="28991BE0" w:rsidR="00070E78" w:rsidRPr="00070E78" w:rsidRDefault="00070E78" w:rsidP="0092662A">
      <w:pPr>
        <w:spacing w:line="240" w:lineRule="auto"/>
        <w:rPr>
          <w:sz w:val="18"/>
          <w:szCs w:val="18"/>
        </w:rPr>
      </w:pPr>
      <w:r w:rsidRPr="00070E78">
        <w:rPr>
          <w:sz w:val="18"/>
          <w:szCs w:val="18"/>
        </w:rPr>
        <w:t>Figure</w:t>
      </w:r>
      <w:r>
        <w:rPr>
          <w:sz w:val="18"/>
          <w:szCs w:val="18"/>
        </w:rPr>
        <w:t xml:space="preserve"> 1</w:t>
      </w:r>
      <w:r w:rsidRPr="00070E78">
        <w:rPr>
          <w:sz w:val="18"/>
          <w:szCs w:val="18"/>
        </w:rPr>
        <w:t xml:space="preserve"> from Samuel Collin, Amritha Baskar, Deepthi Mariam Geevarghese, Mohamed Niyaz Vellala Syed Ali, Praveena Bahubali, Rajan Choudhary, Vladislav Lvov, Gabriel Ibrahin Tovar, Fedor Senatov, Sivasankar Koppala, Sasikumar Swamiappan, Bioaccumulation of lead (Pb) and its effects in plants: A review, Journal of Hazardous Materials Letters, Volume 3, 2022, 100064, ISSN 2666-9110, </w:t>
      </w:r>
      <w:hyperlink r:id="rId10" w:history="1">
        <w:r w:rsidRPr="00070E78">
          <w:rPr>
            <w:rStyle w:val="Hyperlink"/>
            <w:sz w:val="18"/>
            <w:szCs w:val="18"/>
          </w:rPr>
          <w:t>https://doi.org/10.1016/j.hazl.2022.100064</w:t>
        </w:r>
      </w:hyperlink>
      <w:r w:rsidRPr="00070E78">
        <w:rPr>
          <w:sz w:val="18"/>
          <w:szCs w:val="18"/>
        </w:rPr>
        <w:t>. (</w:t>
      </w:r>
      <w:hyperlink r:id="rId11" w:history="1">
        <w:r w:rsidRPr="00070E78">
          <w:rPr>
            <w:rStyle w:val="Hyperlink"/>
            <w:sz w:val="18"/>
            <w:szCs w:val="18"/>
          </w:rPr>
          <w:t>https://www.sciencedirect.com/science/article/pii/S266691102200017X</w:t>
        </w:r>
      </w:hyperlink>
      <w:r w:rsidRPr="00070E78">
        <w:rPr>
          <w:sz w:val="18"/>
          <w:szCs w:val="18"/>
        </w:rPr>
        <w:t xml:space="preserve">) </w:t>
      </w:r>
    </w:p>
    <w:p w14:paraId="5EABFA41" w14:textId="77777777" w:rsidR="0092662A" w:rsidRDefault="0092662A" w:rsidP="0092662A">
      <w:pPr>
        <w:spacing w:line="240" w:lineRule="auto"/>
        <w:rPr>
          <w:sz w:val="24"/>
          <w:szCs w:val="24"/>
        </w:rPr>
      </w:pPr>
    </w:p>
    <w:p w14:paraId="3EF97225" w14:textId="55EFF2DC" w:rsidR="00070E78" w:rsidRPr="0092662A" w:rsidRDefault="0092662A" w:rsidP="00B4551D">
      <w:pPr>
        <w:pBdr>
          <w:top w:val="single" w:sz="18" w:space="1" w:color="auto"/>
          <w:left w:val="single" w:sz="18" w:space="4" w:color="auto"/>
          <w:bottom w:val="single" w:sz="18" w:space="1" w:color="auto"/>
          <w:right w:val="single" w:sz="18" w:space="4" w:color="auto"/>
        </w:pBdr>
        <w:spacing w:line="240" w:lineRule="auto"/>
        <w:jc w:val="center"/>
        <w:rPr>
          <w:b/>
          <w:bCs/>
          <w:sz w:val="24"/>
          <w:szCs w:val="24"/>
        </w:rPr>
      </w:pPr>
      <w:r w:rsidRPr="0092662A">
        <w:rPr>
          <w:b/>
          <w:bCs/>
          <w:sz w:val="24"/>
          <w:szCs w:val="24"/>
        </w:rPr>
        <w:t>Australian Olive Industry Message</w:t>
      </w:r>
    </w:p>
    <w:p w14:paraId="27683791" w14:textId="77777777" w:rsidR="0092662A" w:rsidRPr="0092662A" w:rsidRDefault="0092662A" w:rsidP="00B4551D">
      <w:pPr>
        <w:pBdr>
          <w:top w:val="single" w:sz="18" w:space="1" w:color="auto"/>
          <w:left w:val="single" w:sz="18" w:space="4" w:color="auto"/>
          <w:bottom w:val="single" w:sz="18" w:space="1" w:color="auto"/>
          <w:right w:val="single" w:sz="18" w:space="4" w:color="auto"/>
        </w:pBdr>
        <w:spacing w:line="240" w:lineRule="auto"/>
        <w:rPr>
          <w:sz w:val="24"/>
          <w:szCs w:val="24"/>
        </w:rPr>
      </w:pPr>
      <w:r w:rsidRPr="0092662A">
        <w:rPr>
          <w:sz w:val="24"/>
          <w:szCs w:val="24"/>
          <w:lang w:val="en-US"/>
        </w:rPr>
        <w:t xml:space="preserve">The </w:t>
      </w:r>
      <w:r w:rsidRPr="0092662A">
        <w:rPr>
          <w:b/>
          <w:bCs/>
          <w:sz w:val="24"/>
          <w:szCs w:val="24"/>
          <w:lang w:val="en-US"/>
        </w:rPr>
        <w:t>reputation</w:t>
      </w:r>
      <w:r w:rsidRPr="0092662A">
        <w:rPr>
          <w:sz w:val="24"/>
          <w:szCs w:val="24"/>
          <w:lang w:val="en-US"/>
        </w:rPr>
        <w:t xml:space="preserve"> of the Australian olive industry for producing the highest quality Extra Virgin Olive Oil is at risk, because:-</w:t>
      </w:r>
    </w:p>
    <w:p w14:paraId="6428833A" w14:textId="77777777" w:rsidR="0092662A" w:rsidRPr="0092662A" w:rsidRDefault="0092662A" w:rsidP="00B4551D">
      <w:pPr>
        <w:pBdr>
          <w:top w:val="single" w:sz="18" w:space="1" w:color="auto"/>
          <w:left w:val="single" w:sz="18" w:space="4" w:color="auto"/>
          <w:bottom w:val="single" w:sz="18" w:space="1" w:color="auto"/>
          <w:right w:val="single" w:sz="18" w:space="4" w:color="auto"/>
        </w:pBdr>
        <w:spacing w:line="240" w:lineRule="auto"/>
        <w:rPr>
          <w:sz w:val="24"/>
          <w:szCs w:val="24"/>
        </w:rPr>
      </w:pPr>
      <w:r w:rsidRPr="0092662A">
        <w:rPr>
          <w:sz w:val="24"/>
          <w:szCs w:val="24"/>
          <w:lang w:val="en-US"/>
        </w:rPr>
        <w:t>Lead will be released during the mining operation with the greatest potential for plant and crop uptake via the roots from the soil water (not covered in the assessment report)</w:t>
      </w:r>
    </w:p>
    <w:p w14:paraId="013F21D7" w14:textId="77777777" w:rsidR="0092662A" w:rsidRPr="0092662A" w:rsidRDefault="0092662A" w:rsidP="00B4551D">
      <w:pPr>
        <w:pBdr>
          <w:top w:val="single" w:sz="18" w:space="1" w:color="auto"/>
          <w:left w:val="single" w:sz="18" w:space="4" w:color="auto"/>
          <w:bottom w:val="single" w:sz="18" w:space="1" w:color="auto"/>
          <w:right w:val="single" w:sz="18" w:space="4" w:color="auto"/>
        </w:pBdr>
        <w:spacing w:line="240" w:lineRule="auto"/>
        <w:rPr>
          <w:sz w:val="24"/>
          <w:szCs w:val="24"/>
        </w:rPr>
      </w:pPr>
      <w:r w:rsidRPr="0092662A">
        <w:rPr>
          <w:sz w:val="24"/>
          <w:szCs w:val="24"/>
          <w:lang w:val="en-US"/>
        </w:rPr>
        <w:t>This will give the olive oil importers the opportunity to position imported product as superior to the Australian product</w:t>
      </w:r>
    </w:p>
    <w:p w14:paraId="6E01D971" w14:textId="0E94932E" w:rsidR="0092662A" w:rsidRPr="0092662A" w:rsidRDefault="0092662A" w:rsidP="00B4551D">
      <w:pPr>
        <w:pBdr>
          <w:top w:val="single" w:sz="18" w:space="1" w:color="auto"/>
          <w:left w:val="single" w:sz="18" w:space="4" w:color="auto"/>
          <w:bottom w:val="single" w:sz="18" w:space="1" w:color="auto"/>
          <w:right w:val="single" w:sz="18" w:space="4" w:color="auto"/>
        </w:pBdr>
        <w:spacing w:line="240" w:lineRule="auto"/>
        <w:rPr>
          <w:sz w:val="24"/>
          <w:szCs w:val="24"/>
        </w:rPr>
      </w:pPr>
      <w:r w:rsidRPr="0092662A">
        <w:rPr>
          <w:sz w:val="24"/>
          <w:szCs w:val="24"/>
          <w:lang w:val="en-US"/>
        </w:rPr>
        <w:t xml:space="preserve">How will </w:t>
      </w:r>
      <w:r w:rsidR="006A35B1">
        <w:rPr>
          <w:sz w:val="24"/>
          <w:szCs w:val="24"/>
          <w:lang w:val="en-US"/>
        </w:rPr>
        <w:t>this project</w:t>
      </w:r>
      <w:r w:rsidRPr="0092662A">
        <w:rPr>
          <w:sz w:val="24"/>
          <w:szCs w:val="24"/>
          <w:lang w:val="en-US"/>
        </w:rPr>
        <w:t xml:space="preserve"> protect the reputation and profitability of the Australian olive and other agricultural industries?</w:t>
      </w:r>
    </w:p>
    <w:p w14:paraId="3A750C57" w14:textId="77777777" w:rsidR="00B4551D" w:rsidRDefault="00B4551D" w:rsidP="0092662A">
      <w:pPr>
        <w:spacing w:line="240" w:lineRule="auto"/>
        <w:rPr>
          <w:sz w:val="24"/>
          <w:szCs w:val="24"/>
        </w:rPr>
      </w:pPr>
    </w:p>
    <w:p w14:paraId="0CA681A4" w14:textId="77777777" w:rsidR="00B4551D" w:rsidRDefault="00B4551D" w:rsidP="0092662A">
      <w:pPr>
        <w:spacing w:line="240" w:lineRule="auto"/>
        <w:rPr>
          <w:sz w:val="18"/>
          <w:szCs w:val="18"/>
          <w:lang w:val="en-US"/>
        </w:rPr>
      </w:pPr>
    </w:p>
    <w:p w14:paraId="41A4CAA9" w14:textId="0BA9D03E" w:rsidR="0080390E" w:rsidRDefault="0080390E" w:rsidP="0092662A">
      <w:pPr>
        <w:spacing w:line="240" w:lineRule="auto"/>
        <w:rPr>
          <w:sz w:val="18"/>
          <w:szCs w:val="18"/>
          <w:lang w:val="en-US"/>
        </w:rPr>
      </w:pPr>
      <w:r w:rsidRPr="0080390E">
        <w:rPr>
          <w:sz w:val="18"/>
          <w:szCs w:val="18"/>
          <w:lang w:val="en-US"/>
        </w:rPr>
        <w:t>*Reddy, K.J., Wang, L. &amp; Gloss, S.P. Solubility and mobility of copper, zinc and lead in acidic environments. </w:t>
      </w:r>
      <w:r w:rsidRPr="0080390E">
        <w:rPr>
          <w:i/>
          <w:iCs/>
          <w:sz w:val="18"/>
          <w:szCs w:val="18"/>
          <w:lang w:val="en-US"/>
        </w:rPr>
        <w:t>Plant Soil</w:t>
      </w:r>
      <w:r w:rsidRPr="0080390E">
        <w:rPr>
          <w:sz w:val="18"/>
          <w:szCs w:val="18"/>
          <w:lang w:val="en-US"/>
        </w:rPr>
        <w:t> </w:t>
      </w:r>
      <w:r w:rsidRPr="0080390E">
        <w:rPr>
          <w:b/>
          <w:bCs/>
          <w:sz w:val="18"/>
          <w:szCs w:val="18"/>
          <w:lang w:val="en-US"/>
        </w:rPr>
        <w:t>171</w:t>
      </w:r>
      <w:r w:rsidRPr="0080390E">
        <w:rPr>
          <w:sz w:val="18"/>
          <w:szCs w:val="18"/>
          <w:lang w:val="en-US"/>
        </w:rPr>
        <w:t xml:space="preserve">, 53–58 (1995). </w:t>
      </w:r>
      <w:hyperlink r:id="rId12" w:history="1">
        <w:r w:rsidR="006E4F1D" w:rsidRPr="0080390E">
          <w:rPr>
            <w:rStyle w:val="Hyperlink"/>
            <w:sz w:val="18"/>
            <w:szCs w:val="18"/>
            <w:lang w:val="en-US"/>
          </w:rPr>
          <w:t>https://doi.org/10.1007/BF00009564</w:t>
        </w:r>
      </w:hyperlink>
    </w:p>
    <w:p w14:paraId="74BEFF0F" w14:textId="37672957" w:rsidR="00AD7B09" w:rsidRPr="00B4551D" w:rsidRDefault="006E4F1D" w:rsidP="00B4551D">
      <w:pPr>
        <w:spacing w:line="240" w:lineRule="auto"/>
        <w:rPr>
          <w:sz w:val="18"/>
          <w:szCs w:val="18"/>
        </w:rPr>
      </w:pPr>
      <w:r w:rsidRPr="006E4F1D">
        <w:rPr>
          <w:sz w:val="18"/>
          <w:szCs w:val="18"/>
          <w:lang w:val="en-US"/>
        </w:rPr>
        <w:t>*</w:t>
      </w:r>
      <w:r>
        <w:rPr>
          <w:sz w:val="18"/>
          <w:szCs w:val="18"/>
          <w:lang w:val="en-US"/>
        </w:rPr>
        <w:t>*</w:t>
      </w:r>
      <w:r w:rsidRPr="006E4F1D">
        <w:rPr>
          <w:sz w:val="18"/>
          <w:szCs w:val="18"/>
        </w:rPr>
        <w:t>Pourrut B, Shahid M, Dumat C, Winterton P, Pinelli E. Lead uptake, toxicity, and detoxification in plants. Rev Environ Contam Toxicol. 2011;213:113-36. doi: 10.1007/978-1-4419-9860-6_4. PMID: 21541849.</w:t>
      </w:r>
    </w:p>
    <w:sectPr w:rsidR="00AD7B09" w:rsidRPr="00B455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3D60" w14:textId="77777777" w:rsidR="00396327" w:rsidRDefault="00396327" w:rsidP="0080390E">
      <w:pPr>
        <w:spacing w:after="0" w:line="240" w:lineRule="auto"/>
      </w:pPr>
      <w:r>
        <w:separator/>
      </w:r>
    </w:p>
  </w:endnote>
  <w:endnote w:type="continuationSeparator" w:id="0">
    <w:p w14:paraId="0A1900F3" w14:textId="77777777" w:rsidR="00396327" w:rsidRDefault="00396327" w:rsidP="0080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362C" w14:textId="77777777" w:rsidR="00396327" w:rsidRDefault="00396327" w:rsidP="0080390E">
      <w:pPr>
        <w:spacing w:after="0" w:line="240" w:lineRule="auto"/>
      </w:pPr>
      <w:r>
        <w:separator/>
      </w:r>
    </w:p>
  </w:footnote>
  <w:footnote w:type="continuationSeparator" w:id="0">
    <w:p w14:paraId="6C8F786B" w14:textId="77777777" w:rsidR="00396327" w:rsidRDefault="00396327" w:rsidP="00803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D9"/>
    <w:rsid w:val="000566B6"/>
    <w:rsid w:val="00070E78"/>
    <w:rsid w:val="00083950"/>
    <w:rsid w:val="000B0D1F"/>
    <w:rsid w:val="00134968"/>
    <w:rsid w:val="001B4E43"/>
    <w:rsid w:val="0035610F"/>
    <w:rsid w:val="00396327"/>
    <w:rsid w:val="003964F9"/>
    <w:rsid w:val="006A35B1"/>
    <w:rsid w:val="006E4F1D"/>
    <w:rsid w:val="007843F2"/>
    <w:rsid w:val="0080390E"/>
    <w:rsid w:val="008136D9"/>
    <w:rsid w:val="008D75B3"/>
    <w:rsid w:val="008E2908"/>
    <w:rsid w:val="009030AD"/>
    <w:rsid w:val="0092662A"/>
    <w:rsid w:val="00A91BE9"/>
    <w:rsid w:val="00AA4F0A"/>
    <w:rsid w:val="00AA602A"/>
    <w:rsid w:val="00AD7B09"/>
    <w:rsid w:val="00B42CFF"/>
    <w:rsid w:val="00B4551D"/>
    <w:rsid w:val="00E02027"/>
    <w:rsid w:val="00E76B9E"/>
    <w:rsid w:val="00EE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11EFC"/>
  <w15:chartTrackingRefBased/>
  <w15:docId w15:val="{CA113C29-8706-4DFA-8264-CBDAC8A3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B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03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90E"/>
  </w:style>
  <w:style w:type="paragraph" w:styleId="Footer">
    <w:name w:val="footer"/>
    <w:basedOn w:val="Normal"/>
    <w:link w:val="FooterChar"/>
    <w:uiPriority w:val="99"/>
    <w:unhideWhenUsed/>
    <w:rsid w:val="00803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90E"/>
  </w:style>
  <w:style w:type="character" w:styleId="Hyperlink">
    <w:name w:val="Hyperlink"/>
    <w:basedOn w:val="DefaultParagraphFont"/>
    <w:uiPriority w:val="99"/>
    <w:unhideWhenUsed/>
    <w:rsid w:val="00070E78"/>
    <w:rPr>
      <w:color w:val="0563C1" w:themeColor="hyperlink"/>
      <w:u w:val="single"/>
    </w:rPr>
  </w:style>
  <w:style w:type="character" w:styleId="UnresolvedMention">
    <w:name w:val="Unresolved Mention"/>
    <w:basedOn w:val="DefaultParagraphFont"/>
    <w:uiPriority w:val="99"/>
    <w:semiHidden/>
    <w:unhideWhenUsed/>
    <w:rsid w:val="0007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7082">
      <w:bodyDiv w:val="1"/>
      <w:marLeft w:val="0"/>
      <w:marRight w:val="0"/>
      <w:marTop w:val="0"/>
      <w:marBottom w:val="0"/>
      <w:divBdr>
        <w:top w:val="none" w:sz="0" w:space="0" w:color="auto"/>
        <w:left w:val="none" w:sz="0" w:space="0" w:color="auto"/>
        <w:bottom w:val="none" w:sz="0" w:space="0" w:color="auto"/>
        <w:right w:val="none" w:sz="0" w:space="0" w:color="auto"/>
      </w:divBdr>
    </w:div>
    <w:div w:id="325788615">
      <w:bodyDiv w:val="1"/>
      <w:marLeft w:val="0"/>
      <w:marRight w:val="0"/>
      <w:marTop w:val="0"/>
      <w:marBottom w:val="0"/>
      <w:divBdr>
        <w:top w:val="none" w:sz="0" w:space="0" w:color="auto"/>
        <w:left w:val="none" w:sz="0" w:space="0" w:color="auto"/>
        <w:bottom w:val="none" w:sz="0" w:space="0" w:color="auto"/>
        <w:right w:val="none" w:sz="0" w:space="0" w:color="auto"/>
      </w:divBdr>
    </w:div>
    <w:div w:id="816342087">
      <w:bodyDiv w:val="1"/>
      <w:marLeft w:val="0"/>
      <w:marRight w:val="0"/>
      <w:marTop w:val="0"/>
      <w:marBottom w:val="0"/>
      <w:divBdr>
        <w:top w:val="none" w:sz="0" w:space="0" w:color="auto"/>
        <w:left w:val="none" w:sz="0" w:space="0" w:color="auto"/>
        <w:bottom w:val="none" w:sz="0" w:space="0" w:color="auto"/>
        <w:right w:val="none" w:sz="0" w:space="0" w:color="auto"/>
      </w:divBdr>
    </w:div>
    <w:div w:id="1116603954">
      <w:bodyDiv w:val="1"/>
      <w:marLeft w:val="0"/>
      <w:marRight w:val="0"/>
      <w:marTop w:val="0"/>
      <w:marBottom w:val="0"/>
      <w:divBdr>
        <w:top w:val="none" w:sz="0" w:space="0" w:color="auto"/>
        <w:left w:val="none" w:sz="0" w:space="0" w:color="auto"/>
        <w:bottom w:val="none" w:sz="0" w:space="0" w:color="auto"/>
        <w:right w:val="none" w:sz="0" w:space="0" w:color="auto"/>
      </w:divBdr>
    </w:div>
    <w:div w:id="1401632276">
      <w:bodyDiv w:val="1"/>
      <w:marLeft w:val="0"/>
      <w:marRight w:val="0"/>
      <w:marTop w:val="0"/>
      <w:marBottom w:val="0"/>
      <w:divBdr>
        <w:top w:val="none" w:sz="0" w:space="0" w:color="auto"/>
        <w:left w:val="none" w:sz="0" w:space="0" w:color="auto"/>
        <w:bottom w:val="none" w:sz="0" w:space="0" w:color="auto"/>
        <w:right w:val="none" w:sz="0" w:space="0" w:color="auto"/>
      </w:divBdr>
    </w:div>
    <w:div w:id="1401755595">
      <w:bodyDiv w:val="1"/>
      <w:marLeft w:val="0"/>
      <w:marRight w:val="0"/>
      <w:marTop w:val="0"/>
      <w:marBottom w:val="0"/>
      <w:divBdr>
        <w:top w:val="none" w:sz="0" w:space="0" w:color="auto"/>
        <w:left w:val="none" w:sz="0" w:space="0" w:color="auto"/>
        <w:bottom w:val="none" w:sz="0" w:space="0" w:color="auto"/>
        <w:right w:val="none" w:sz="0" w:space="0" w:color="auto"/>
      </w:divBdr>
    </w:div>
    <w:div w:id="1493646701">
      <w:bodyDiv w:val="1"/>
      <w:marLeft w:val="0"/>
      <w:marRight w:val="0"/>
      <w:marTop w:val="0"/>
      <w:marBottom w:val="0"/>
      <w:divBdr>
        <w:top w:val="none" w:sz="0" w:space="0" w:color="auto"/>
        <w:left w:val="none" w:sz="0" w:space="0" w:color="auto"/>
        <w:bottom w:val="none" w:sz="0" w:space="0" w:color="auto"/>
        <w:right w:val="none" w:sz="0" w:space="0" w:color="auto"/>
      </w:divBdr>
    </w:div>
    <w:div w:id="1592740041">
      <w:bodyDiv w:val="1"/>
      <w:marLeft w:val="0"/>
      <w:marRight w:val="0"/>
      <w:marTop w:val="0"/>
      <w:marBottom w:val="0"/>
      <w:divBdr>
        <w:top w:val="none" w:sz="0" w:space="0" w:color="auto"/>
        <w:left w:val="none" w:sz="0" w:space="0" w:color="auto"/>
        <w:bottom w:val="none" w:sz="0" w:space="0" w:color="auto"/>
        <w:right w:val="none" w:sz="0" w:space="0" w:color="auto"/>
      </w:divBdr>
    </w:div>
    <w:div w:id="1636183821">
      <w:bodyDiv w:val="1"/>
      <w:marLeft w:val="0"/>
      <w:marRight w:val="0"/>
      <w:marTop w:val="0"/>
      <w:marBottom w:val="0"/>
      <w:divBdr>
        <w:top w:val="none" w:sz="0" w:space="0" w:color="auto"/>
        <w:left w:val="none" w:sz="0" w:space="0" w:color="auto"/>
        <w:bottom w:val="none" w:sz="0" w:space="0" w:color="auto"/>
        <w:right w:val="none" w:sz="0" w:space="0" w:color="auto"/>
      </w:divBdr>
    </w:div>
    <w:div w:id="1669403235">
      <w:bodyDiv w:val="1"/>
      <w:marLeft w:val="0"/>
      <w:marRight w:val="0"/>
      <w:marTop w:val="0"/>
      <w:marBottom w:val="0"/>
      <w:divBdr>
        <w:top w:val="none" w:sz="0" w:space="0" w:color="auto"/>
        <w:left w:val="none" w:sz="0" w:space="0" w:color="auto"/>
        <w:bottom w:val="none" w:sz="0" w:space="0" w:color="auto"/>
        <w:right w:val="none" w:sz="0" w:space="0" w:color="auto"/>
      </w:divBdr>
    </w:div>
    <w:div w:id="1816070142">
      <w:bodyDiv w:val="1"/>
      <w:marLeft w:val="0"/>
      <w:marRight w:val="0"/>
      <w:marTop w:val="0"/>
      <w:marBottom w:val="0"/>
      <w:divBdr>
        <w:top w:val="none" w:sz="0" w:space="0" w:color="auto"/>
        <w:left w:val="none" w:sz="0" w:space="0" w:color="auto"/>
        <w:bottom w:val="none" w:sz="0" w:space="0" w:color="auto"/>
        <w:right w:val="none" w:sz="0" w:space="0" w:color="auto"/>
      </w:divBdr>
    </w:div>
    <w:div w:id="1921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oi.org/10.1007/BF000095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hyperlink" Target="https://www.sciencedirect.com/science/article/pii/S266691102200017X" TargetMode="External"/><Relationship Id="rId5" Type="http://schemas.openxmlformats.org/officeDocument/2006/relationships/endnotes" Target="endnotes.xml"/><Relationship Id="rId10" Type="http://schemas.openxmlformats.org/officeDocument/2006/relationships/hyperlink" Target="https://doi.org/10.1016/j.hazl.2022.100064"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09:41:28.580"/>
    </inkml:context>
    <inkml:brush xml:id="br0">
      <inkml:brushProperty name="width" value="0.05" units="cm"/>
      <inkml:brushProperty name="height" value="0.05" units="cm"/>
      <inkml:brushProperty name="color" value="#E71224"/>
    </inkml:brush>
  </inkml:definitions>
  <inkml:trace contextRef="#ctx0" brushRef="#br0">2176 136 24575,'-76'10'0,"13"0"0,-65 0 0,-307 13 0,-354-24 0,744 3 0,-1 3 0,2 1 0,-1 2 0,1 2 0,0 2 0,1 1 0,0 3 0,2 2 0,0 1 0,-76 49 0,107-61 0,0 1 0,1 0 0,-1 1 0,2 0 0,-1 0 0,1 1 0,1 0 0,0 0 0,0 1 0,1 0 0,0 0 0,1 1 0,0-1 0,1 1 0,1 0 0,0 0 0,-3 22 0,1 13 0,2 1 0,3 0 0,6 62 0,-6-103 0,3 17 0,1 0 0,0-1 0,2 1 0,1-1 0,1-1 0,0 1 0,22 38 0,-11-29 0,1-1 0,1-1 0,2-1 0,37 38 0,-12-18 0,-10-9 0,0-3 0,64 48 0,-83-72 0,-1 2 0,1-2 0,1 0 0,0-1 0,0-2 0,1 0 0,1-1 0,34 10 0,-21-11 0,25 6 0,1-3 0,105 6 0,-112-14 0,105 20 0,-105-13 0,0-2 0,65 1 0,442 31 0,-150-4 0,-210-30 0,91 5 0,427 3 0,-448-17 0,-126 5 0,134-3 0,-224-3 0,1-1 0,104-26 0,-106 18 0,0 3 0,89-6 0,111 11 0,7-1 0,760-38 0,-324 16 0,-51 3 0,-613 24 0,63-11 0,-62 6 0,56-2 0,1527 8 0,-734 1 0,-798 3 0,127 23 0,-94-9 0,-90-15 0,241 27 0,135-4 0,-198 0 0,-142-15 0,105 5 0,-122-16 0,30 0 0,0 4 0,100 17 0,-98-8 0,141 5 0,83-20 0,-105-1 0,-85 5 0,128-5 0,-197-1 0,-1-3 0,0-2 0,0-1 0,-1-2 0,-1-3 0,0 0 0,47-27 0,-68 30 0,0-1 0,-2 0 0,0-1 0,0-2 0,-1 1 0,-1-2 0,-1 0 0,0-1 0,-1-1 0,-2 0 0,1 0 0,-2-1 0,-1-1 0,0 0 0,-2-1 0,10-36 0,-1-3 0,-2-2 0,-3 0 0,6-95 0,-20-243 0,2 394 0,-1-1 0,0 1 0,0-1 0,-1 1 0,1 0 0,-2-1 0,1 1 0,-1 0 0,0 0 0,0 1 0,-1-1 0,0 1 0,0-1 0,-1 1 0,0 0 0,0 1 0,0-1 0,-12-8 0,-7-4 0,-1 2 0,-1 0 0,-43-18 0,-8-6 0,-4-2 0,-2 4 0,-2 3 0,-159-44 0,198 70 0,1 2 0,-1 2 0,0 2 0,0 2 0,-53 5 0,-11-1 0,-281-23 0,283 7 0,-152-8 0,220 21 0,-82 2 0,1-5 0,-181-29 0,199 19 0,-1 4 0,-188 9 0,121 3 0,11-5 0,-173 5 0,157 24 0,27-2 0,-313 40 0,385-49 0,41-7 0,0-2 0,-49 3 0,1-8 0,31-2 0,1 3 0,-96 16 0,85-7 0,0-3 0,-80 2 0,-130-12 0,103-2 0,124 3 0,3-2 0,0 3 0,0 1 0,0 2 0,0 1 0,-56 16 0,46-6 0,-1-3 0,0-2 0,-99 5 0,-170-15 0,135-4 0,-1776 4 0,1924-2 0,-54-9 0,-34-2 0,58 12 0,-224-14 0,-77-17 0,202 25 0,117 7 0,1-2 0,0-3 0,-57-11 0,51 4 0,0 3 0,-86-2 0,-120 12 0,96 2 0,58-1 0,-123-5 0,199-1 0,-1-2 0,-52-17 0,-6-1 0,16 5 0,46 11 0,0 1 0,-1 1 0,-61-4 0,81 10 0,0-1 0,0 1 0,0 1 0,0 0 0,0 1 0,0 0 0,1 0 0,-1 1 0,0 1 0,1 0 0,0 0 0,0 1 0,0 0 0,-16 13 0,-29 22-1365,40-30-5461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Southan</dc:creator>
  <cp:keywords/>
  <dc:description/>
  <cp:lastModifiedBy>Michael Southan</cp:lastModifiedBy>
  <cp:revision>19</cp:revision>
  <dcterms:created xsi:type="dcterms:W3CDTF">2023-02-15T08:17:00Z</dcterms:created>
  <dcterms:modified xsi:type="dcterms:W3CDTF">2023-02-23T08:56:00Z</dcterms:modified>
</cp:coreProperties>
</file>