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sz w:val="24"/>
          <w:szCs w:val="24"/>
        </w:rPr>
        <w:t>The Independent Planning Commission of</w:t>
      </w:r>
    </w:p>
    <w:p>
      <w:pPr>
        <w:pStyle w:val="Normal"/>
        <w:rPr/>
      </w:pPr>
      <w:r>
        <w:rPr>
          <w:sz w:val="24"/>
          <w:szCs w:val="24"/>
        </w:rPr>
        <w:t>New South Wales.</w:t>
      </w:r>
    </w:p>
    <w:p>
      <w:pPr>
        <w:pStyle w:val="Normal"/>
        <w:rPr/>
      </w:pPr>
      <w:r>
        <w:rPr>
          <w:sz w:val="24"/>
          <w:szCs w:val="24"/>
        </w:rPr>
        <w:t>Level 3, 201 Elizabeth Street</w:t>
      </w:r>
    </w:p>
    <w:p>
      <w:pPr>
        <w:pStyle w:val="Normal"/>
        <w:rPr/>
      </w:pPr>
      <w:r>
        <w:rPr>
          <w:sz w:val="24"/>
          <w:szCs w:val="24"/>
        </w:rPr>
        <w:t>SYDNEY NSW 2000.</w:t>
      </w:r>
    </w:p>
    <w:p>
      <w:pPr>
        <w:pStyle w:val="Normal"/>
        <w:rPr>
          <w:sz w:val="24"/>
          <w:szCs w:val="24"/>
        </w:rPr>
      </w:pPr>
      <w:r>
        <w:rPr>
          <w:sz w:val="24"/>
          <w:szCs w:val="24"/>
        </w:rPr>
      </w:r>
    </w:p>
    <w:p>
      <w:pPr>
        <w:pStyle w:val="Normal"/>
        <w:widowControl/>
        <w:bidi w:val="0"/>
        <w:spacing w:lineRule="auto" w:line="259" w:before="0" w:after="160"/>
        <w:jc w:val="left"/>
        <w:rPr/>
      </w:pPr>
      <w:r>
        <w:rPr>
          <w:sz w:val="24"/>
          <w:szCs w:val="24"/>
        </w:rPr>
        <w:t>24</w:t>
      </w:r>
      <w:r>
        <w:rPr>
          <w:sz w:val="24"/>
          <w:szCs w:val="24"/>
          <w:vertAlign w:val="superscript"/>
        </w:rPr>
        <w:t>th</w:t>
      </w:r>
      <w:r>
        <w:rPr>
          <w:sz w:val="24"/>
          <w:szCs w:val="24"/>
        </w:rPr>
        <w:t xml:space="preserve"> May 2019</w:t>
      </w:r>
    </w:p>
    <w:p>
      <w:pPr>
        <w:pStyle w:val="Normal"/>
        <w:widowControl/>
        <w:bidi w:val="0"/>
        <w:spacing w:lineRule="auto" w:line="259" w:before="0" w:after="160"/>
        <w:jc w:val="left"/>
        <w:rPr>
          <w:sz w:val="24"/>
          <w:szCs w:val="24"/>
        </w:rPr>
      </w:pPr>
      <w:r>
        <w:rPr>
          <w:sz w:val="24"/>
          <w:szCs w:val="24"/>
        </w:rPr>
      </w:r>
    </w:p>
    <w:p>
      <w:pPr>
        <w:pStyle w:val="Normal"/>
        <w:widowControl/>
        <w:bidi w:val="0"/>
        <w:spacing w:lineRule="auto" w:line="259" w:before="0" w:after="160"/>
        <w:jc w:val="left"/>
        <w:rPr/>
      </w:pPr>
      <w:r>
        <w:rPr>
          <w:sz w:val="24"/>
          <w:szCs w:val="24"/>
        </w:rPr>
        <w:t xml:space="preserve">RE : </w:t>
      </w:r>
      <w:r>
        <w:rPr>
          <w:b/>
          <w:bCs/>
          <w:sz w:val="24"/>
          <w:szCs w:val="24"/>
        </w:rPr>
        <w:t>D556-19 Rix’s Creek South Coal Mine – Modification 10.</w:t>
      </w:r>
    </w:p>
    <w:p>
      <w:pPr>
        <w:pStyle w:val="Normal"/>
        <w:widowControl/>
        <w:bidi w:val="0"/>
        <w:spacing w:lineRule="auto" w:line="259" w:before="0" w:after="160"/>
        <w:jc w:val="left"/>
        <w:rPr>
          <w:b w:val="false"/>
          <w:b w:val="false"/>
          <w:bCs w:val="false"/>
          <w:sz w:val="24"/>
          <w:szCs w:val="24"/>
        </w:rPr>
      </w:pPr>
      <w:r>
        <w:rPr>
          <w:b w:val="false"/>
          <w:bCs w:val="false"/>
          <w:sz w:val="24"/>
          <w:szCs w:val="24"/>
        </w:rPr>
      </w:r>
    </w:p>
    <w:p>
      <w:pPr>
        <w:pStyle w:val="Normal"/>
        <w:widowControl/>
        <w:bidi w:val="0"/>
        <w:spacing w:lineRule="auto" w:line="259" w:before="0" w:after="160"/>
        <w:jc w:val="left"/>
        <w:rPr/>
      </w:pPr>
      <w:r>
        <w:rPr>
          <w:b w:val="false"/>
          <w:bCs w:val="false"/>
          <w:sz w:val="24"/>
          <w:szCs w:val="24"/>
        </w:rPr>
        <w:t xml:space="preserve">To whom it may concern, </w:t>
      </w:r>
    </w:p>
    <w:p>
      <w:pPr>
        <w:pStyle w:val="Normal"/>
        <w:widowControl/>
        <w:bidi w:val="0"/>
        <w:spacing w:lineRule="auto" w:line="259" w:before="0" w:after="160"/>
        <w:jc w:val="left"/>
        <w:rPr/>
      </w:pPr>
      <w:r>
        <w:rPr>
          <w:b w:val="false"/>
          <w:bCs w:val="false"/>
          <w:sz w:val="24"/>
          <w:szCs w:val="24"/>
        </w:rPr>
        <w:t xml:space="preserve">My name is Adam Jordan and I am employed by The Bloomfield Group at Rix’s Creek South as a heavy equipment operator and I vehemently support the Rix’s Creek Continuation of Mining Project and the MOD 10 extension. </w:t>
      </w:r>
    </w:p>
    <w:p>
      <w:pPr>
        <w:pStyle w:val="Normal"/>
        <w:widowControl/>
        <w:bidi w:val="0"/>
        <w:spacing w:lineRule="auto" w:line="259" w:before="0" w:after="160"/>
        <w:jc w:val="left"/>
        <w:rPr/>
      </w:pPr>
      <w:r>
        <w:rPr>
          <w:b w:val="false"/>
          <w:bCs w:val="false"/>
          <w:sz w:val="24"/>
          <w:szCs w:val="24"/>
        </w:rPr>
        <w:t>We are a sole income family. During the mining downturn I was forced to leave the Hunter Valley to gain permanent employment. I had to move away from from my family to put food on the table and to keep a roof over my families head. During this time, due to the roster I worked, I missed much of my young son growing up. This is time that I will never get back and the thought of having to do it again fills me with dread. We have another young son now and I will again miss much of his childhood should the Rix’s Creek MOD 10 extension and the Rix’s Creek Continuation of Mining Project not be approved. Casualization of the workforce is becoming increasingly predominant and I am highly unlikely to gain further permanent work in the Hunter Valley should the MOD 10 and Project not go ahead. Working for The Bloomfield Group allows me to have a great work / life balance by living and working locally. I get to raise my family surrounded by friends and extended family members. We get to support our local government, schools, and businesses.</w:t>
      </w:r>
    </w:p>
    <w:p>
      <w:pPr>
        <w:pStyle w:val="Normal"/>
        <w:widowControl/>
        <w:bidi w:val="0"/>
        <w:spacing w:lineRule="auto" w:line="259" w:before="0" w:after="160"/>
        <w:jc w:val="left"/>
        <w:rPr>
          <w:b w:val="false"/>
          <w:b w:val="false"/>
          <w:bCs w:val="false"/>
          <w:sz w:val="24"/>
          <w:szCs w:val="24"/>
        </w:rPr>
      </w:pPr>
      <w:r>
        <w:rPr>
          <w:b w:val="false"/>
          <w:bCs w:val="false"/>
          <w:sz w:val="24"/>
          <w:szCs w:val="24"/>
        </w:rPr>
      </w:r>
    </w:p>
    <w:p>
      <w:pPr>
        <w:pStyle w:val="Normal"/>
        <w:widowControl/>
        <w:bidi w:val="0"/>
        <w:spacing w:lineRule="auto" w:line="259" w:before="0" w:after="160"/>
        <w:jc w:val="left"/>
        <w:rPr/>
      </w:pPr>
      <w:r>
        <w:rPr>
          <w:b w:val="false"/>
          <w:bCs w:val="false"/>
          <w:sz w:val="24"/>
          <w:szCs w:val="24"/>
        </w:rPr>
        <w:t xml:space="preserve">The Bloomfield Group actively engages the services of local business. Should the Rix’s Creek MOD 10 extension and the Rix’s Creek Continuation of Mining Project not be approved local businesses and therefore the local community will suffer. The Bloomfield Group supports a diverse range of community programs such as : </w:t>
      </w:r>
    </w:p>
    <w:p>
      <w:pPr>
        <w:pStyle w:val="TextBody"/>
        <w:widowControl/>
        <w:numPr>
          <w:ilvl w:val="0"/>
          <w:numId w:val="1"/>
        </w:numPr>
        <w:tabs>
          <w:tab w:val="left" w:pos="0" w:leader="none"/>
        </w:tabs>
        <w:spacing w:before="0" w:after="0"/>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Red Cross Breakfast Club</w:t>
      </w:r>
    </w:p>
    <w:p>
      <w:pPr>
        <w:pStyle w:val="TextBody"/>
        <w:widowControl/>
        <w:numPr>
          <w:ilvl w:val="0"/>
          <w:numId w:val="1"/>
        </w:numPr>
        <w:tabs>
          <w:tab w:val="left" w:pos="0" w:leader="none"/>
        </w:tabs>
        <w:spacing w:before="0" w:after="0"/>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Father Chris Riley’s Youth off The Streets – Kurri Kurri and Cessnock outreach services</w:t>
      </w:r>
    </w:p>
    <w:p>
      <w:pPr>
        <w:pStyle w:val="TextBody"/>
        <w:widowControl/>
        <w:numPr>
          <w:ilvl w:val="0"/>
          <w:numId w:val="1"/>
        </w:numPr>
        <w:tabs>
          <w:tab w:val="left" w:pos="0" w:leader="none"/>
        </w:tabs>
        <w:spacing w:before="0" w:after="0"/>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Hunter New England Health Local Health District </w:t>
      </w:r>
    </w:p>
    <w:p>
      <w:pPr>
        <w:pStyle w:val="TextBody"/>
        <w:widowControl/>
        <w:numPr>
          <w:ilvl w:val="0"/>
          <w:numId w:val="1"/>
        </w:numPr>
        <w:tabs>
          <w:tab w:val="left" w:pos="0" w:leader="none"/>
        </w:tabs>
        <w:spacing w:before="0" w:after="0"/>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Maitland Cancer Council Relay for Life</w:t>
      </w:r>
    </w:p>
    <w:p>
      <w:pPr>
        <w:pStyle w:val="TextBody"/>
        <w:widowControl/>
        <w:numPr>
          <w:ilvl w:val="0"/>
          <w:numId w:val="1"/>
        </w:numPr>
        <w:tabs>
          <w:tab w:val="left" w:pos="0" w:leader="none"/>
        </w:tabs>
        <w:spacing w:before="0" w:after="0"/>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Singleton Legacy</w:t>
      </w:r>
    </w:p>
    <w:p>
      <w:pPr>
        <w:pStyle w:val="TextBody"/>
        <w:widowControl/>
        <w:numPr>
          <w:ilvl w:val="0"/>
          <w:numId w:val="1"/>
        </w:numPr>
        <w:tabs>
          <w:tab w:val="left" w:pos="0" w:leader="none"/>
        </w:tabs>
        <w:spacing w:before="0" w:after="0"/>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Singleton Samaritans</w:t>
      </w:r>
    </w:p>
    <w:p>
      <w:pPr>
        <w:pStyle w:val="TextBody"/>
        <w:widowControl/>
        <w:numPr>
          <w:ilvl w:val="0"/>
          <w:numId w:val="1"/>
        </w:numPr>
        <w:tabs>
          <w:tab w:val="left" w:pos="0" w:leader="none"/>
        </w:tabs>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Hunter Medical Research Institute  ,</w:t>
      </w:r>
    </w:p>
    <w:p>
      <w:pPr>
        <w:pStyle w:val="TextBody"/>
        <w:widowControl/>
        <w:numPr>
          <w:ilvl w:val="0"/>
          <w:numId w:val="0"/>
        </w:numPr>
        <w:ind w:left="707" w:hanging="0"/>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to name a few. These community programs will all suffer should the Project and MOD 10 not go ahead.</w:t>
      </w:r>
    </w:p>
    <w:p>
      <w:pPr>
        <w:pStyle w:val="TextBody"/>
        <w:widowControl/>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ab/>
        <w:t xml:space="preserve">Some groups would like to shut down the coal mining industry in Australia completely </w:t>
        <w:tab/>
        <w:t xml:space="preserve">due to environmental concerns. This is despite the fact that Hunter Valley coal is some of </w:t>
        <w:tab/>
        <w:t xml:space="preserve">the cleanest coal in the world. Coupled with this fact is the high likelihood that the use </w:t>
        <w:tab/>
        <w:t xml:space="preserve">of coal will at least continue for decades to come. I think the use of coal will steadily </w:t>
        <w:tab/>
        <w:t xml:space="preserve">increase in the near future, in terms of electricity generation, while its market share </w:t>
        <w:tab/>
        <w:t>w</w:t>
      </w:r>
      <w:r>
        <w:rPr>
          <w:b w:val="false"/>
          <w:i w:val="false"/>
          <w:caps w:val="false"/>
          <w:smallCaps w:val="false"/>
          <w:color w:val="000000"/>
          <w:spacing w:val="0"/>
          <w:sz w:val="24"/>
          <w:szCs w:val="24"/>
        </w:rPr>
        <w:t>ill</w:t>
      </w:r>
      <w:r>
        <w:rPr>
          <w:b w:val="false"/>
          <w:i w:val="false"/>
          <w:caps w:val="false"/>
          <w:smallCaps w:val="false"/>
          <w:color w:val="000000"/>
          <w:spacing w:val="0"/>
          <w:sz w:val="24"/>
          <w:szCs w:val="24"/>
        </w:rPr>
        <w:t xml:space="preserve"> slowly decline as alternative power sources become economically available. Does </w:t>
        <w:tab/>
        <w:t xml:space="preserve">it make environmental and economic sense to reduce the coal that we produce so that it </w:t>
        <w:tab/>
        <w:t>can be replaced by dirty coal from another nation? I think not.</w:t>
      </w:r>
    </w:p>
    <w:p>
      <w:pPr>
        <w:pStyle w:val="TextBody"/>
        <w:widowControl/>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TextBody"/>
        <w:widowControl/>
        <w:jc w:val="left"/>
        <w:rPr>
          <w:rFonts w:ascii="Calibri" w:hAnsi="Calibri"/>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tab/>
        <w:t xml:space="preserve">It is my opinion that the </w:t>
      </w:r>
      <w:r>
        <w:rPr>
          <w:b w:val="false"/>
          <w:bCs w:val="false"/>
          <w:i w:val="false"/>
          <w:caps w:val="false"/>
          <w:smallCaps w:val="false"/>
          <w:color w:val="000000"/>
          <w:spacing w:val="0"/>
          <w:sz w:val="24"/>
          <w:szCs w:val="24"/>
        </w:rPr>
        <w:t xml:space="preserve">Rix’s Creek MOD 10 extension and the Rix’s Creek Continuation </w:t>
        <w:tab/>
        <w:t xml:space="preserve">of Mining Project will provide responsible mining as well as ongoing permanent local </w:t>
        <w:tab/>
        <w:t>jobs. It will benefit the local community, NSW and Australia as a whole.</w:t>
      </w:r>
    </w:p>
    <w:p>
      <w:pPr>
        <w:pStyle w:val="TextBody"/>
        <w:widowControl/>
        <w:jc w:val="left"/>
        <w:rPr>
          <w:b w:val="false"/>
          <w:b w:val="false"/>
          <w:bCs w:val="false"/>
        </w:rPr>
      </w:pPr>
      <w:r>
        <w:rPr>
          <w:b w:val="false"/>
          <w:bCs w:val="false"/>
        </w:rPr>
      </w:r>
    </w:p>
    <w:p>
      <w:pPr>
        <w:pStyle w:val="TextBody"/>
        <w:widowControl/>
        <w:jc w:val="left"/>
        <w:rPr>
          <w:rFonts w:ascii="Calibri" w:hAnsi="Calibri"/>
          <w:b w:val="false"/>
          <w:b w:val="false"/>
          <w:i w:val="false"/>
          <w:i w:val="false"/>
          <w:caps w:val="false"/>
          <w:smallCaps w:val="false"/>
          <w:color w:val="000000"/>
          <w:spacing w:val="0"/>
          <w:sz w:val="24"/>
          <w:szCs w:val="24"/>
        </w:rPr>
      </w:pPr>
      <w:r>
        <w:rPr>
          <w:b w:val="false"/>
          <w:bCs w:val="false"/>
          <w:i w:val="false"/>
          <w:caps w:val="false"/>
          <w:smallCaps w:val="false"/>
          <w:color w:val="000000"/>
          <w:spacing w:val="0"/>
          <w:sz w:val="24"/>
          <w:szCs w:val="24"/>
        </w:rPr>
        <w:tab/>
        <w:t>Yours sincerely,</w:t>
      </w:r>
    </w:p>
    <w:p>
      <w:pPr>
        <w:pStyle w:val="TextBody"/>
        <w:widowControl/>
        <w:jc w:val="left"/>
        <w:rPr>
          <w:rFonts w:ascii="Calibri" w:hAnsi="Calibri"/>
          <w:b w:val="false"/>
          <w:b w:val="false"/>
          <w:i w:val="false"/>
          <w:i w:val="false"/>
          <w:caps w:val="false"/>
          <w:smallCaps w:val="false"/>
          <w:color w:val="000000"/>
          <w:spacing w:val="0"/>
          <w:sz w:val="24"/>
          <w:szCs w:val="24"/>
        </w:rPr>
      </w:pPr>
      <w:r>
        <w:rPr>
          <w:b w:val="false"/>
          <w:bCs w:val="false"/>
          <w:i w:val="false"/>
          <w:caps w:val="false"/>
          <w:smallCaps w:val="false"/>
          <w:color w:val="000000"/>
          <w:spacing w:val="0"/>
          <w:sz w:val="24"/>
          <w:szCs w:val="24"/>
        </w:rPr>
        <w:tab/>
        <w:t>Adam Jordan</w:t>
      </w:r>
    </w:p>
    <w:p>
      <w:pPr>
        <w:pStyle w:val="TextBody"/>
        <w:widowControl/>
        <w:numPr>
          <w:ilvl w:val="0"/>
          <w:numId w:val="0"/>
        </w:numPr>
        <w:ind w:left="707" w:hanging="0"/>
        <w:jc w:val="left"/>
        <w:rPr>
          <w:rFonts w:ascii="Calibri" w:hAnsi="Calibri"/>
          <w:b w:val="false"/>
          <w:b w:val="false"/>
          <w:i w:val="false"/>
          <w:i w:val="false"/>
          <w:caps w:val="false"/>
          <w:smallCaps w:val="false"/>
          <w:color w:val="666666"/>
          <w:spacing w:val="0"/>
          <w:sz w:val="24"/>
          <w:szCs w:val="24"/>
        </w:rPr>
      </w:pPr>
      <w:r>
        <w:rPr>
          <w:b w:val="false"/>
          <w:i w:val="false"/>
          <w:caps w:val="false"/>
          <w:smallCaps w:val="false"/>
          <w:color w:val="666666"/>
          <w:spacing w:val="0"/>
          <w:sz w:val="24"/>
          <w:szCs w:val="24"/>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707" w:hanging="0"/>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ascii="Calibri" w:hAnsi="Calibri"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LibreOffice/5.1.3.2$Windows_x86 LibreOffice_project/644e4637d1d8544fd9f56425bd6cec110e49301b</Application>
  <Pages>2</Pages>
  <Words>544</Words>
  <Characters>2576</Characters>
  <CharactersWithSpaces>3111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2019-05-24T01:23:54Z</dcterms:created>
  <dc:creator>Adam Jordan</dc:creator>
  <dc:description/>
  <dc:language>en-AU</dc:language>
  <cp:lastModifiedBy/>
  <dcterms:modified xsi:type="dcterms:W3CDTF">2019-05-24T13:45:04Z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